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16" w:rsidRPr="00AE1C16" w:rsidRDefault="00AE1C16" w:rsidP="00AE1C16">
      <w:pPr>
        <w:spacing w:after="0" w:line="320" w:lineRule="atLeast"/>
        <w:jc w:val="center"/>
        <w:rPr>
          <w:rFonts w:ascii="Tahoma" w:eastAsia="Times New Roman" w:hAnsi="Tahoma" w:cs="Tahoma" w:hint="cs"/>
          <w:b/>
          <w:bCs/>
          <w:sz w:val="28"/>
          <w:szCs w:val="28"/>
          <w:rtl/>
        </w:rPr>
      </w:pPr>
      <w:bookmarkStart w:id="0" w:name="_GoBack"/>
      <w:r w:rsidRPr="00AE1C16">
        <w:rPr>
          <w:rFonts w:ascii="Tahoma" w:eastAsia="Times New Roman" w:hAnsi="Tahoma" w:cs="Tahoma" w:hint="cs"/>
          <w:b/>
          <w:bCs/>
          <w:sz w:val="28"/>
          <w:szCs w:val="28"/>
          <w:rtl/>
        </w:rPr>
        <w:t>شبی مانند شب قدر</w:t>
      </w:r>
    </w:p>
    <w:bookmarkEnd w:id="0"/>
    <w:p w:rsid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 w:hint="cs"/>
          <w:sz w:val="24"/>
          <w:szCs w:val="24"/>
          <w:rtl/>
        </w:rPr>
      </w:pP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sz w:val="24"/>
          <w:szCs w:val="24"/>
          <w:rtl/>
        </w:rPr>
        <w:t>شیخ حرّ عاملى(ره) از بزرگان اصحاب نقل مى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كند كه امام صادق(علیه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السلام) فرمود</w:t>
      </w:r>
      <w:r w:rsidRPr="00AE1C16">
        <w:rPr>
          <w:rFonts w:ascii="Tahoma" w:eastAsia="Times New Roman" w:hAnsi="Tahoma" w:cs="Tahoma"/>
          <w:sz w:val="24"/>
          <w:szCs w:val="24"/>
        </w:rPr>
        <w:t>:</w: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«</w:t>
      </w:r>
      <w:r w:rsidRPr="00AE1C16">
        <w:rPr>
          <w:rFonts w:ascii="Tahoma" w:eastAsia="Times New Roman" w:hAnsi="Tahoma" w:cs="Tahoma"/>
          <w:sz w:val="24"/>
          <w:szCs w:val="24"/>
          <w:rtl/>
        </w:rPr>
        <w:t>شبى كه حضرت قائم(عج) در آن متولد شد، هیچ نوزادى در آن شب متولد نمى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شود مگر این كه مؤمن خواهد شد، و اگر در سرزمین كفر متولد گردد، خداوند او را به بركت امام مهدى(عج) به سوى ایمان منتقل مى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سازد.»(1</w:t>
      </w:r>
      <w:r>
        <w:rPr>
          <w:rFonts w:ascii="Tahoma" w:eastAsia="Times New Roman" w:hAnsi="Tahoma" w:cs="Tahoma" w:hint="cs"/>
          <w:sz w:val="24"/>
          <w:szCs w:val="24"/>
          <w:rtl/>
        </w:rPr>
        <w:t>)</w: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sz w:val="24"/>
          <w:szCs w:val="24"/>
          <w:rtl/>
        </w:rPr>
        <w:t>در نیمه شعبان زیارت حضرت امام حسین(علیه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السلام) و همچنین زیارت امام زمان(علیه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السلام) مستحب است، امام صادق(علیه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السلام) فرمود</w:t>
      </w:r>
      <w:r w:rsidRPr="00AE1C16">
        <w:rPr>
          <w:rFonts w:ascii="Tahoma" w:eastAsia="Times New Roman" w:hAnsi="Tahoma" w:cs="Tahoma"/>
          <w:sz w:val="24"/>
          <w:szCs w:val="24"/>
        </w:rPr>
        <w:t>:</w: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sz w:val="24"/>
          <w:szCs w:val="24"/>
        </w:rPr>
        <w:t>«</w:t>
      </w:r>
      <w:r w:rsidRPr="00AE1C16">
        <w:rPr>
          <w:rFonts w:ascii="Tahoma" w:eastAsia="Times New Roman" w:hAnsi="Tahoma" w:cs="Tahoma"/>
          <w:sz w:val="24"/>
          <w:szCs w:val="24"/>
          <w:rtl/>
        </w:rPr>
        <w:t>شب نیمه شعبان بهترین شب بعد از شب قدر است و خواندن دو ركعت نماز در شب نیمه شعبان بعد از نماز عشاء مستحب است، در ركعت اول بعد از حمد، سوره كافرون و در ركعت دوم بعد از حمد سوره توحید خوانده شود</w:t>
      </w:r>
      <w:proofErr w:type="gramStart"/>
      <w:r w:rsidRPr="00AE1C16">
        <w:rPr>
          <w:rFonts w:ascii="Tahoma" w:eastAsia="Times New Roman" w:hAnsi="Tahoma" w:cs="Tahoma"/>
          <w:sz w:val="24"/>
          <w:szCs w:val="24"/>
          <w:rtl/>
        </w:rPr>
        <w:t>.»</w:t>
      </w:r>
      <w:proofErr w:type="gramEnd"/>
      <w:r w:rsidRPr="00AE1C16">
        <w:rPr>
          <w:rFonts w:ascii="Tahoma" w:eastAsia="Times New Roman" w:hAnsi="Tahoma" w:cs="Tahoma"/>
          <w:sz w:val="24"/>
          <w:szCs w:val="24"/>
          <w:rtl/>
        </w:rPr>
        <w:t>(2</w:t>
      </w:r>
      <w:r>
        <w:rPr>
          <w:rFonts w:ascii="Tahoma" w:eastAsia="Times New Roman" w:hAnsi="Tahoma" w:cs="Tahoma"/>
          <w:sz w:val="24"/>
          <w:szCs w:val="24"/>
        </w:rPr>
        <w:t>(</w: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sz w:val="24"/>
          <w:szCs w:val="24"/>
          <w:rtl/>
        </w:rPr>
        <w:t>غسل و شب زنده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دارى و عبادت در این شب، فضیلت بسیار دارد، این شب در نزد خدا چنین مقامى دارد كه ولادت با سعادت امام زمان(علیه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السلام) در سحرگاه این شب واقع شده و بر عظمت و رونق آن افزوده است</w:t>
      </w:r>
      <w:r w:rsidRPr="00AE1C16">
        <w:rPr>
          <w:rFonts w:ascii="Tahoma" w:eastAsia="Times New Roman" w:hAnsi="Tahoma" w:cs="Tahoma"/>
          <w:sz w:val="24"/>
          <w:szCs w:val="24"/>
        </w:rPr>
        <w:t>.</w: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sz w:val="24"/>
          <w:szCs w:val="24"/>
          <w:rtl/>
        </w:rPr>
        <w:t>ضمناً روایاتى به ما رسیده است كه نیمه شعبان همان شب قدر و تقسیم ارزاق و عمرها است، و در بعضى از این روایات آمده که شب نیمه شعبان، شب امامان(علیهم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السلام) است و شب قدر، شب رسول خدا(صلى الله علیه و آله) است</w:t>
      </w:r>
      <w:r w:rsidRPr="00AE1C16">
        <w:rPr>
          <w:rFonts w:ascii="Tahoma" w:eastAsia="Times New Roman" w:hAnsi="Tahoma" w:cs="Tahoma"/>
          <w:sz w:val="24"/>
          <w:szCs w:val="24"/>
        </w:rPr>
        <w:t>.</w: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sz w:val="24"/>
          <w:szCs w:val="24"/>
          <w:rtl/>
        </w:rPr>
        <w:t>از جمله فضائل این شب این است که، از شب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هاى مخصوص زیارت امام حسین(علیه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السلام) است كه صد هزار پیامبر(صلی الله علیه و آله) آن حضرت را در این شب زیارت مى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كنند</w:t>
      </w:r>
      <w:r w:rsidRPr="00AE1C16">
        <w:rPr>
          <w:rFonts w:ascii="Tahoma" w:eastAsia="Times New Roman" w:hAnsi="Tahoma" w:cs="Tahoma"/>
          <w:sz w:val="24"/>
          <w:szCs w:val="24"/>
        </w:rPr>
        <w:t>.</w: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AE1C16">
        <w:rPr>
          <w:rFonts w:ascii="Tahoma" w:eastAsia="Times New Roman" w:hAnsi="Tahoma" w:cs="Tahoma"/>
          <w:sz w:val="24"/>
          <w:szCs w:val="24"/>
          <w:rtl/>
        </w:rPr>
        <w:t>از نمازهاى مستحبى كه در این شب وارد شده دو ركعت نماز است كه در هر ركعت بعد از حمد صدبار سوره توحید خوانده مى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شود</w:t>
      </w:r>
      <w:r w:rsidRPr="00AE1C16">
        <w:rPr>
          <w:rFonts w:ascii="Tahoma" w:eastAsia="Times New Roman" w:hAnsi="Tahoma" w:cs="Tahoma"/>
          <w:sz w:val="24"/>
          <w:szCs w:val="24"/>
        </w:rPr>
        <w:t>.</w: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sz w:val="24"/>
          <w:szCs w:val="24"/>
          <w:rtl/>
        </w:rPr>
        <w:t>نقل شده: رسول اكرم(صلى الله علیه و آله) فرمود: شب نیمه شعبان در خواب دیدم جبرئیل بر من نازل شد و فرمود: اى محمّد(صلى الله علیه و آله) در چنین شبى خوابیده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اى؟ گفتم: این شب چه شبى است؟</w: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sz w:val="24"/>
          <w:szCs w:val="24"/>
          <w:rtl/>
        </w:rPr>
        <w:t>فرمود: شب نیمه شعبان است برخیز. مرا بلند كرد و به بقیع برد، و سپس جبرئیل فرمود: سرت را بلند كن زیرا در این شب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ها درهاى رحمت خدا در آسمان به روى بندگان باز است، همچنین درِ رضوان، درِ آمرزش، درِ فضل، درِ توبه، درِ نعمت، درِ جود و سخاوت، درِ احسان باز است، خداوند به عدد پشم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ها و موهاى چرندگان در این شب گنهكاران را آزاد مى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كند، پایان عمرها در این شب، تعیین مى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گردد، رزق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هاى یك سال در این شب تقسیم مى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شود و حوادث یك سال در این شب معیّن مى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گردد</w:t>
      </w:r>
      <w:r w:rsidRPr="00AE1C16">
        <w:rPr>
          <w:rFonts w:ascii="Tahoma" w:eastAsia="Times New Roman" w:hAnsi="Tahoma" w:cs="Tahoma"/>
          <w:sz w:val="24"/>
          <w:szCs w:val="24"/>
        </w:rPr>
        <w:t>.</w: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sz w:val="24"/>
          <w:szCs w:val="24"/>
          <w:rtl/>
        </w:rPr>
        <w:t>اى محمد! كسى كه این شب را با تكبیر و تسبیح و تهلیل و دعا و نماز و قرائت قرآن و اطاعت و خضوع و استغفار بسر برد، بهشت منزل و سراى او است، و خداوند گناهان گذشته و آینده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اش را مى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آمرزد ... اى محمد(صلى الله علیه و آله) این شب را احیاء بگیر و به امت خود دستور بده آنها نیز این شب را احیاء بدارند، و با عمل به سوى خدا تقرب جویند، چرا كه این شب شبى شریف است</w:t>
      </w:r>
      <w:r w:rsidRPr="00AE1C16">
        <w:rPr>
          <w:rFonts w:ascii="Tahoma" w:eastAsia="Times New Roman" w:hAnsi="Tahoma" w:cs="Tahoma"/>
          <w:sz w:val="24"/>
          <w:szCs w:val="24"/>
        </w:rPr>
        <w:t>.</w: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sz w:val="24"/>
          <w:szCs w:val="24"/>
          <w:rtl/>
        </w:rPr>
        <w:t>از اعمال این شب، خواندن دعاى كمیل در سجده است روایت شده كه كمیل گوید دیدم حضرت على (علیه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السلام) این دعا را در شب نیمه شعبان در سجده خواندند</w:t>
      </w:r>
      <w:r w:rsidRPr="00AE1C16">
        <w:rPr>
          <w:rFonts w:ascii="Tahoma" w:eastAsia="Times New Roman" w:hAnsi="Tahoma" w:cs="Tahoma"/>
          <w:sz w:val="24"/>
          <w:szCs w:val="24"/>
        </w:rPr>
        <w:t>.</w: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sz w:val="24"/>
          <w:szCs w:val="24"/>
          <w:rtl/>
        </w:rPr>
        <w:t>در مورد زیارت امام حسین(علیه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السلام) در این شب به خصوص در صورت امكان در كنار قبرش، آمده هر كه بشناسد امام حسین(علیه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السلام) را و شهادت او و هدف شهادتش را كه موجب نجات امت گردید و وسیله و راهگشایى براى رسیدن به فوز عظیم شد(خلاصه این كه عبادتش در این شب از روى توجه و علاقه و معرفت خاص باشد) آنگونه خویشتن را در برابر خدا خاضع نماید كه شایستگى آن را دارا مى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باشد و نیز از خدا خواسته</w:t>
      </w:r>
      <w:r w:rsidRPr="00AE1C16">
        <w:rPr>
          <w:rFonts w:ascii="Tahoma" w:eastAsia="Times New Roman" w:hAnsi="Tahoma" w:cs="Tahoma"/>
          <w:sz w:val="24"/>
          <w:szCs w:val="24"/>
          <w:cs/>
        </w:rPr>
        <w:t>‎</w:t>
      </w:r>
      <w:r w:rsidRPr="00AE1C16">
        <w:rPr>
          <w:rFonts w:ascii="Tahoma" w:eastAsia="Times New Roman" w:hAnsi="Tahoma" w:cs="Tahoma"/>
          <w:sz w:val="24"/>
          <w:szCs w:val="24"/>
          <w:rtl/>
        </w:rPr>
        <w:t>هاى شرعیش را تقاضا كند</w:t>
      </w:r>
      <w:r w:rsidRPr="00AE1C16">
        <w:rPr>
          <w:rFonts w:ascii="Tahoma" w:eastAsia="Times New Roman" w:hAnsi="Tahoma" w:cs="Tahoma"/>
          <w:sz w:val="24"/>
          <w:szCs w:val="24"/>
        </w:rPr>
        <w:t>.</w: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sz w:val="24"/>
          <w:szCs w:val="24"/>
        </w:rPr>
        <w:lastRenderedPageBreak/>
        <w:t> </w:t>
      </w:r>
    </w:p>
    <w:p w:rsidR="00AE1C16" w:rsidRPr="00AE1C16" w:rsidRDefault="00AE1C16" w:rsidP="00AE1C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E1C16">
        <w:rPr>
          <w:rFonts w:ascii="Times New Roman" w:eastAsia="Times New Roman" w:hAnsi="Times New Roman" w:cs="Times New Roman"/>
          <w:sz w:val="32"/>
          <w:szCs w:val="32"/>
        </w:rPr>
        <w:pict>
          <v:rect id="_x0000_i1025" style="width:0;height:1.5pt" o:hralign="left" o:hrstd="t" o:hrnoshade="t" o:hr="t" fillcolor="black" stroked="f"/>
        </w:pic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b/>
          <w:bCs/>
          <w:sz w:val="24"/>
          <w:szCs w:val="24"/>
          <w:rtl/>
        </w:rPr>
        <w:t>پی نوشت ها</w:t>
      </w:r>
      <w:r w:rsidRPr="00AE1C16">
        <w:rPr>
          <w:rFonts w:ascii="Tahoma" w:eastAsia="Times New Roman" w:hAnsi="Tahoma" w:cs="Tahoma"/>
          <w:b/>
          <w:bCs/>
          <w:sz w:val="24"/>
          <w:szCs w:val="24"/>
        </w:rPr>
        <w:t>:</w: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sz w:val="24"/>
          <w:szCs w:val="24"/>
        </w:rPr>
        <w:t xml:space="preserve">1- </w:t>
      </w:r>
      <w:r w:rsidRPr="00AE1C16">
        <w:rPr>
          <w:rFonts w:ascii="Tahoma" w:eastAsia="Times New Roman" w:hAnsi="Tahoma" w:cs="Tahoma"/>
          <w:sz w:val="24"/>
          <w:szCs w:val="24"/>
          <w:rtl/>
        </w:rPr>
        <w:t>توضیح المقاصد شیخ بهائى، ص 533</w:t>
      </w:r>
      <w:r w:rsidRPr="00AE1C16">
        <w:rPr>
          <w:rFonts w:ascii="Tahoma" w:eastAsia="Times New Roman" w:hAnsi="Tahoma" w:cs="Tahoma"/>
          <w:sz w:val="24"/>
          <w:szCs w:val="24"/>
        </w:rPr>
        <w:t>.</w: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sz w:val="24"/>
          <w:szCs w:val="24"/>
        </w:rPr>
        <w:t xml:space="preserve">2- </w:t>
      </w:r>
      <w:r w:rsidRPr="00AE1C16">
        <w:rPr>
          <w:rFonts w:ascii="Tahoma" w:eastAsia="Times New Roman" w:hAnsi="Tahoma" w:cs="Tahoma"/>
          <w:sz w:val="24"/>
          <w:szCs w:val="24"/>
          <w:rtl/>
        </w:rPr>
        <w:t>اثباة الهداة، ج 7، ص 162</w:t>
      </w:r>
      <w:r w:rsidRPr="00AE1C16">
        <w:rPr>
          <w:rFonts w:ascii="Tahoma" w:eastAsia="Times New Roman" w:hAnsi="Tahoma" w:cs="Tahoma"/>
          <w:sz w:val="24"/>
          <w:szCs w:val="24"/>
        </w:rPr>
        <w:t>.</w:t>
      </w: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sz w:val="24"/>
          <w:szCs w:val="24"/>
        </w:rPr>
        <w:t xml:space="preserve">3- </w:t>
      </w:r>
      <w:r w:rsidRPr="00AE1C16">
        <w:rPr>
          <w:rFonts w:ascii="Tahoma" w:eastAsia="Times New Roman" w:hAnsi="Tahoma" w:cs="Tahoma"/>
          <w:sz w:val="24"/>
          <w:szCs w:val="24"/>
          <w:rtl/>
        </w:rPr>
        <w:t>اقتباس از كتاب المراقبات، نوشته عالم ربّانى و عارف صمدانى، مرحوم حاج میرزا جواد تبریزى، ص 79 به بعد (دعاها و نمازهاى دیگرى نیز ذكر شده به این كتاب مراجعه شود</w:t>
      </w:r>
      <w:r>
        <w:rPr>
          <w:rFonts w:ascii="Tahoma" w:eastAsia="Times New Roman" w:hAnsi="Tahoma" w:cs="Tahoma" w:hint="cs"/>
          <w:sz w:val="24"/>
          <w:szCs w:val="24"/>
          <w:rtl/>
        </w:rPr>
        <w:t>.)</w:t>
      </w:r>
    </w:p>
    <w:p w:rsid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 w:hint="cs"/>
          <w:sz w:val="24"/>
          <w:szCs w:val="24"/>
          <w:rtl/>
        </w:rPr>
      </w:pPr>
    </w:p>
    <w:p w:rsid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 w:hint="cs"/>
          <w:sz w:val="24"/>
          <w:szCs w:val="24"/>
          <w:rtl/>
        </w:rPr>
      </w:pPr>
    </w:p>
    <w:p w:rsid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 w:hint="cs"/>
          <w:sz w:val="24"/>
          <w:szCs w:val="24"/>
          <w:rtl/>
        </w:rPr>
      </w:pPr>
    </w:p>
    <w:p w:rsidR="00AE1C16" w:rsidRPr="00AE1C16" w:rsidRDefault="00AE1C16" w:rsidP="00AE1C16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AE1C16">
        <w:rPr>
          <w:rFonts w:ascii="Tahoma" w:eastAsia="Times New Roman" w:hAnsi="Tahoma" w:cs="Tahoma"/>
          <w:sz w:val="24"/>
          <w:szCs w:val="24"/>
          <w:rtl/>
        </w:rPr>
        <w:t>برگرفته از کتاب حضرت مهدى(عج) فروغ تابان ولایت، محمد محمدى اشتهاردى</w:t>
      </w:r>
      <w:r w:rsidRPr="00AE1C16">
        <w:rPr>
          <w:rFonts w:ascii="Tahoma" w:eastAsia="Times New Roman" w:hAnsi="Tahoma" w:cs="Tahoma"/>
          <w:sz w:val="24"/>
          <w:szCs w:val="24"/>
        </w:rPr>
        <w:t> </w:t>
      </w:r>
    </w:p>
    <w:p w:rsidR="00CF5D22" w:rsidRPr="00AE1C16" w:rsidRDefault="00CF5D22" w:rsidP="00AE1C16">
      <w:pPr>
        <w:rPr>
          <w:sz w:val="30"/>
          <w:szCs w:val="30"/>
        </w:rPr>
      </w:pPr>
    </w:p>
    <w:sectPr w:rsidR="00CF5D22" w:rsidRPr="00AE1C16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16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E1C16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C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1C16"/>
    <w:rPr>
      <w:b/>
      <w:bCs/>
    </w:rPr>
  </w:style>
  <w:style w:type="character" w:customStyle="1" w:styleId="apple-converted-space">
    <w:name w:val="apple-converted-space"/>
    <w:basedOn w:val="DefaultParagraphFont"/>
    <w:rsid w:val="00AE1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C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1C16"/>
    <w:rPr>
      <w:b/>
      <w:bCs/>
    </w:rPr>
  </w:style>
  <w:style w:type="character" w:customStyle="1" w:styleId="apple-converted-space">
    <w:name w:val="apple-converted-space"/>
    <w:basedOn w:val="DefaultParagraphFont"/>
    <w:rsid w:val="00AE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4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8764">
              <w:marLeft w:val="75"/>
              <w:marRight w:val="0"/>
              <w:marTop w:val="0"/>
              <w:marBottom w:val="0"/>
              <w:divBdr>
                <w:top w:val="double" w:sz="6" w:space="4" w:color="99CCFE"/>
                <w:left w:val="double" w:sz="6" w:space="0" w:color="99CCFE"/>
                <w:bottom w:val="double" w:sz="6" w:space="7" w:color="99CCFE"/>
                <w:right w:val="double" w:sz="6" w:space="7" w:color="99CCF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2015-05-17T17:45:00Z</dcterms:created>
  <dcterms:modified xsi:type="dcterms:W3CDTF">2015-05-17T18:46:00Z</dcterms:modified>
</cp:coreProperties>
</file>