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70" w:rsidRPr="00503570" w:rsidRDefault="00503570" w:rsidP="00503570">
      <w:pPr>
        <w:spacing w:after="0" w:line="320" w:lineRule="atLeast"/>
        <w:jc w:val="center"/>
        <w:rPr>
          <w:rFonts w:ascii="Tahoma" w:eastAsia="Times New Roman" w:hAnsi="Tahoma" w:cs="Tahoma" w:hint="cs"/>
          <w:b/>
          <w:bCs/>
          <w:sz w:val="28"/>
          <w:szCs w:val="28"/>
          <w:rtl/>
        </w:rPr>
      </w:pPr>
      <w:r w:rsidRPr="00503570">
        <w:rPr>
          <w:rFonts w:ascii="Tahoma" w:eastAsia="Times New Roman" w:hAnsi="Tahoma" w:cs="Tahoma" w:hint="cs"/>
          <w:b/>
          <w:bCs/>
          <w:sz w:val="28"/>
          <w:szCs w:val="28"/>
          <w:rtl/>
        </w:rPr>
        <w:t>فلسفه و دلائل غیبت</w:t>
      </w:r>
    </w:p>
    <w:p w:rsid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پیامبر اكرم و ائمه اطهار(علیهم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نخستین كسانى هستند كه به منظور رفع شبهات، از علت غیبت سخن رانده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اند و در مجموعه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هاى روایى، احادیث زیادى در این باب جمع آورى شده است</w:t>
      </w:r>
      <w:r w:rsidRPr="00503570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نعمانى از على 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نقل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كند كه ایشان دلیل غیبت را غربال انسان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هاى صالح از گمراه و دانا از نادان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داند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1</w:t>
      </w:r>
      <w:r w:rsidRPr="00503570">
        <w:rPr>
          <w:rFonts w:ascii="Tahoma" w:eastAsia="Times New Roman" w:hAnsi="Tahoma" w:cs="Tahoma"/>
          <w:sz w:val="24"/>
          <w:szCs w:val="24"/>
        </w:rPr>
        <w:t> </w:t>
      </w:r>
      <w:r w:rsidRPr="00503570">
        <w:rPr>
          <w:rFonts w:ascii="Tahoma" w:eastAsia="Times New Roman" w:hAnsi="Tahoma" w:cs="Tahoma"/>
          <w:sz w:val="24"/>
          <w:szCs w:val="24"/>
          <w:rtl/>
        </w:rPr>
        <w:t>و بر اساس روایت دیگرى حضرت در منبر كوفه فرمود</w:t>
      </w:r>
      <w:r w:rsidRPr="00503570">
        <w:rPr>
          <w:rFonts w:ascii="Tahoma" w:eastAsia="Times New Roman" w:hAnsi="Tahoma" w:cs="Tahoma"/>
          <w:sz w:val="24"/>
          <w:szCs w:val="24"/>
        </w:rPr>
        <w:t>: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 w:hint="cs"/>
          <w:sz w:val="24"/>
          <w:szCs w:val="24"/>
          <w:rtl/>
        </w:rPr>
        <w:t>«</w:t>
      </w:r>
      <w:r w:rsidRPr="00503570">
        <w:rPr>
          <w:rFonts w:ascii="Tahoma" w:eastAsia="Times New Roman" w:hAnsi="Tahoma" w:cs="Tahoma"/>
          <w:sz w:val="24"/>
          <w:szCs w:val="24"/>
          <w:rtl/>
        </w:rPr>
        <w:t>زمین، از حجت الهى خالى نمى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ماند، ولى خداوند به دلیل ستم پیشه بودن خلق و ستم و زیاده روى، آنان را از وجود حجت بى بهره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سازد</w:t>
      </w:r>
      <w:r w:rsidRPr="00503570">
        <w:rPr>
          <w:rFonts w:ascii="Tahoma" w:eastAsia="Times New Roman" w:hAnsi="Tahoma" w:cs="Tahoma"/>
          <w:sz w:val="24"/>
          <w:szCs w:val="24"/>
        </w:rPr>
        <w:t>.»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2</w:t>
      </w:r>
      <w:r w:rsidRPr="00503570">
        <w:rPr>
          <w:rFonts w:ascii="Tahoma" w:eastAsia="Times New Roman" w:hAnsi="Tahoma" w:cs="Tahoma"/>
          <w:sz w:val="24"/>
          <w:szCs w:val="24"/>
        </w:rPr>
        <w:t>   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روایات دیگرى كه بیشتر در عصر تقیه جمع آورى شده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اند، حاكى از این هستند كه بشر قادر به درك فلسفه حقیقى غیبت نیست و این راز پس از ظهور آشكار خواهد شد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در دوران امامت حضرت باقر(از 5 تا 114 ه - ق ) و حضرت صادق (از 114 تا 148 ه‍ ق ) با توجه به نهضت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هاى دینى و بازار گرم مناظره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هاى مذهبى و ضرورت نقد عقاید كیسانیه، زیدیه، غلات و اسماعیلیه، در خصوص غیبت امام به فلسفه غیبت توجه بیشترى صورت گرفت. روایات زیادى از 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در این زمینه به دست ما رسیده است</w:t>
      </w:r>
      <w:r w:rsidRPr="00503570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عبیدالله بن فضل هاشمى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گوید: از امام ششم شنیدم كه فرمود</w:t>
      </w:r>
      <w:r w:rsidRPr="00503570">
        <w:rPr>
          <w:rFonts w:ascii="Tahoma" w:eastAsia="Times New Roman" w:hAnsi="Tahoma" w:cs="Tahoma"/>
          <w:sz w:val="24"/>
          <w:szCs w:val="24"/>
        </w:rPr>
        <w:t>: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503570">
        <w:rPr>
          <w:rFonts w:ascii="Tahoma" w:eastAsia="Times New Roman" w:hAnsi="Tahoma" w:cs="Tahoma"/>
          <w:sz w:val="24"/>
          <w:szCs w:val="24"/>
        </w:rPr>
        <w:t>«</w:t>
      </w:r>
      <w:r w:rsidRPr="00503570">
        <w:rPr>
          <w:rFonts w:ascii="Tahoma" w:eastAsia="Times New Roman" w:hAnsi="Tahoma" w:cs="Tahoma"/>
          <w:sz w:val="24"/>
          <w:szCs w:val="24"/>
          <w:rtl/>
        </w:rPr>
        <w:t>صاحب الامر، غیبتى دارد كه تخلف ناپذیر است و هر جوینده باطلى در آن به شك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افتد و اجازه نداریم علت آن را بیان كنیم.</w:t>
      </w:r>
      <w:proofErr w:type="gramEnd"/>
      <w:r w:rsidRPr="00503570">
        <w:rPr>
          <w:rFonts w:ascii="Tahoma" w:eastAsia="Times New Roman" w:hAnsi="Tahoma" w:cs="Tahoma"/>
          <w:sz w:val="24"/>
          <w:szCs w:val="24"/>
          <w:rtl/>
        </w:rPr>
        <w:t xml:space="preserve"> حكمت غیبت، همان حكمتى است كه در غیبت حجت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هاى پیشین وجود داشته است و پس از ظهور، روشن خواهد شد، چنانكه حكمت كارهاى خضر از شكستن كشتى و كشتن پسر بچه و بر پاداشتن دیوار شكسته وقتى براى موسى روشن شد كه آن دو، از هم جدا شدند. غیبت امرى از امور الهى و سرّى از اسرار و غیبتى است از غیبت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هاى او</w:t>
      </w:r>
      <w:r w:rsidRPr="00503570">
        <w:rPr>
          <w:rFonts w:ascii="Tahoma" w:eastAsia="Times New Roman" w:hAnsi="Tahoma" w:cs="Tahoma"/>
          <w:sz w:val="24"/>
          <w:szCs w:val="24"/>
        </w:rPr>
        <w:t>.»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3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در روایت دیگرى، 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علت غیبت را آزمایش الهى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داند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4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از دید امام جعفر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تصدى خلافت توسط عباسیان به معناى غصب حقوق سیاسى ایشان، به عنوان پیشواى بر حق مسلمانان بود و عباسیان از همان ابتدا نسبت به ایشان و علویان بدگمان شدند. امام كه سیاست تقیه را در پیش گرفته بود، احادیثى را در زمینه غیبت امام عصر 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در میان راویان حدیث شیعه نشر داد و این نكته را روشن ساخت: بر امام منصوص الهى، لازم نیست، قیام كند، تا حقوق سیاسى خود را به دست آورد. او باید رهبرى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روحانى خود را داشته باشد و وظایف خویش را انجام دهد تا زمانى كه جامعه خود، به اندازه كافى از آگاهى و شعور سیاسى برخوردار شود و با مراجعه به ائمه (علیهم السلام) خواستار برقرارى حكومت اسلامى و شیعى گردد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بر مبناى همین عقیده بود كه 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آشكار اعلام كرد: مهدى: به قدرت سیاسى دست خواهد یافت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5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به گونه روشن، بیان كرد كه كدام یك از فرزندان ایشان، مهدى شمرده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شود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6</w:t>
      </w:r>
      <w:r w:rsidRPr="00503570">
        <w:rPr>
          <w:rFonts w:ascii="Tahoma" w:eastAsia="Times New Roman" w:hAnsi="Tahoma" w:cs="Tahoma"/>
          <w:sz w:val="24"/>
          <w:szCs w:val="24"/>
        </w:rPr>
        <w:t> </w:t>
      </w:r>
      <w:r w:rsidRPr="00503570">
        <w:rPr>
          <w:rFonts w:ascii="Tahoma" w:eastAsia="Times New Roman" w:hAnsi="Tahoma" w:cs="Tahoma"/>
          <w:sz w:val="24"/>
          <w:szCs w:val="24"/>
          <w:rtl/>
        </w:rPr>
        <w:t>و پیش از ظهورش او را غیبتى باید و منشاء او چیزى جز خوف از كشته شدن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7</w:t>
      </w:r>
      <w:r w:rsidRPr="00503570">
        <w:rPr>
          <w:rFonts w:ascii="Tahoma" w:eastAsia="Times New Roman" w:hAnsi="Tahoma" w:cs="Tahoma"/>
          <w:sz w:val="24"/>
          <w:szCs w:val="24"/>
        </w:rPr>
        <w:t> </w:t>
      </w:r>
      <w:r w:rsidRPr="00503570">
        <w:rPr>
          <w:rFonts w:ascii="Tahoma" w:eastAsia="Times New Roman" w:hAnsi="Tahoma" w:cs="Tahoma"/>
          <w:sz w:val="24"/>
          <w:szCs w:val="24"/>
          <w:rtl/>
        </w:rPr>
        <w:t>و عدم آمادگى مردمان نیست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8</w:t>
      </w:r>
      <w:r w:rsidRPr="00503570">
        <w:rPr>
          <w:rFonts w:ascii="Tahoma" w:eastAsia="Times New Roman" w:hAnsi="Tahoma" w:cs="Tahoma"/>
          <w:sz w:val="24"/>
          <w:szCs w:val="24"/>
        </w:rPr>
        <w:t> </w:t>
      </w:r>
      <w:r w:rsidRPr="00503570">
        <w:rPr>
          <w:rFonts w:ascii="Tahoma" w:eastAsia="Times New Roman" w:hAnsi="Tahoma" w:cs="Tahoma"/>
          <w:sz w:val="24"/>
          <w:szCs w:val="24"/>
          <w:rtl/>
        </w:rPr>
        <w:t>و به دوستان خود توصیه كرد كه در هر بامداد و پسین در انتظار فرج باشند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9</w:t>
      </w:r>
      <w:r w:rsidRPr="00503570">
        <w:rPr>
          <w:rFonts w:ascii="Tahoma" w:eastAsia="Times New Roman" w:hAnsi="Tahoma" w:cs="Tahoma"/>
          <w:sz w:val="24"/>
          <w:szCs w:val="24"/>
        </w:rPr>
        <w:t> 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در بیان 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فلسفه غیبت و انتظار رابطه تنگاتنگى دارند و هر دو، به فعل انسان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ها باز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گردند. چون این مردم هستند كه شایستگى خود را براى ظهور یا عدم ظهور امام غایب به نمایش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گذارند و با كارهاى ناپسند خود بین خویشتن و امام حجاب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گردند از این روى به همه شیعیان خود سفارش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كند</w:t>
      </w:r>
      <w:r w:rsidRPr="00503570">
        <w:rPr>
          <w:rFonts w:ascii="Tahoma" w:eastAsia="Times New Roman" w:hAnsi="Tahoma" w:cs="Tahoma"/>
          <w:sz w:val="24"/>
          <w:szCs w:val="24"/>
        </w:rPr>
        <w:t>: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lastRenderedPageBreak/>
        <w:t>«</w:t>
      </w:r>
      <w:r w:rsidRPr="00503570">
        <w:rPr>
          <w:rFonts w:ascii="Tahoma" w:eastAsia="Times New Roman" w:hAnsi="Tahoma" w:cs="Tahoma"/>
          <w:sz w:val="24"/>
          <w:szCs w:val="24"/>
          <w:rtl/>
        </w:rPr>
        <w:t>در دولت باطل خموش و چموش باشند و در انتظار دولت حق به سر برند و بدانند كه خدا، حق را به كرسى خواهد نشاند و باطل را محو خواهد ساخت</w:t>
      </w:r>
      <w:proofErr w:type="gramStart"/>
      <w:r w:rsidRPr="00503570">
        <w:rPr>
          <w:rFonts w:ascii="Tahoma" w:eastAsia="Times New Roman" w:hAnsi="Tahoma" w:cs="Tahoma"/>
          <w:sz w:val="24"/>
          <w:szCs w:val="24"/>
        </w:rPr>
        <w:t>.»</w:t>
      </w:r>
      <w:proofErr w:type="gramEnd"/>
      <w:r w:rsidRPr="00503570">
        <w:rPr>
          <w:rFonts w:ascii="Tahoma" w:eastAsia="Times New Roman" w:hAnsi="Tahoma" w:cs="Tahoma"/>
          <w:sz w:val="24"/>
          <w:szCs w:val="24"/>
        </w:rPr>
        <w:t> 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از آنان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خواهد: با آرامش بر دیندارى خود صبر كنند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10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از ستمى كه بر شیعیان اعمال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شد غفلت نداشت و به همین دلیل تعمق در فلسفه و علت غیبت را سفارش مى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كرد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امام صادق(علیه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السلام) به عمار ساباطى فرمود</w:t>
      </w:r>
      <w:r w:rsidRPr="00503570">
        <w:rPr>
          <w:rFonts w:ascii="Tahoma" w:eastAsia="Times New Roman" w:hAnsi="Tahoma" w:cs="Tahoma"/>
          <w:sz w:val="24"/>
          <w:szCs w:val="24"/>
        </w:rPr>
        <w:t>: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503570">
        <w:rPr>
          <w:rFonts w:ascii="Tahoma" w:eastAsia="Times New Roman" w:hAnsi="Tahoma" w:cs="Tahoma"/>
          <w:sz w:val="24"/>
          <w:szCs w:val="24"/>
        </w:rPr>
        <w:t>«</w:t>
      </w:r>
      <w:r w:rsidRPr="00503570">
        <w:rPr>
          <w:rFonts w:ascii="Tahoma" w:eastAsia="Times New Roman" w:hAnsi="Tahoma" w:cs="Tahoma"/>
          <w:sz w:val="24"/>
          <w:szCs w:val="24"/>
          <w:rtl/>
        </w:rPr>
        <w:t>شما، به چشم خود نگاه كنید كه حق امام شما و حق خود شما در دست ستمكاران است.</w:t>
      </w:r>
      <w:proofErr w:type="gramEnd"/>
      <w:r w:rsidRPr="00503570">
        <w:rPr>
          <w:rFonts w:ascii="Tahoma" w:eastAsia="Times New Roman" w:hAnsi="Tahoma" w:cs="Tahoma"/>
          <w:sz w:val="24"/>
          <w:szCs w:val="24"/>
          <w:rtl/>
        </w:rPr>
        <w:t xml:space="preserve"> آنان جلو شما را گرفته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اند و دارایى شما را برده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اند و شما را ناچار كرده</w:t>
      </w:r>
      <w:r w:rsidRPr="00503570">
        <w:rPr>
          <w:rFonts w:ascii="Tahoma" w:eastAsia="Times New Roman" w:hAnsi="Tahoma" w:cs="Tahoma"/>
          <w:sz w:val="24"/>
          <w:szCs w:val="24"/>
          <w:cs/>
        </w:rPr>
        <w:t>‎</w:t>
      </w:r>
      <w:r w:rsidRPr="00503570">
        <w:rPr>
          <w:rFonts w:ascii="Tahoma" w:eastAsia="Times New Roman" w:hAnsi="Tahoma" w:cs="Tahoma"/>
          <w:sz w:val="24"/>
          <w:szCs w:val="24"/>
          <w:rtl/>
        </w:rPr>
        <w:t>اند به كشت و كار تلاش براى گذران و خرج دنیا و طلب معاش زندگى و صبر بر دیندارى خودتان و عبادت مخصوص به خودتان و اطاعت از امام خودتان با بیم از دشمن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  <w:r w:rsidRPr="00503570">
        <w:rPr>
          <w:rFonts w:ascii="Tahoma" w:eastAsia="Times New Roman" w:hAnsi="Tahoma" w:cs="Tahoma"/>
          <w:sz w:val="24"/>
          <w:szCs w:val="24"/>
          <w:vertAlign w:val="superscript"/>
        </w:rPr>
        <w:t>11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> </w:t>
      </w:r>
    </w:p>
    <w:p w:rsidR="00503570" w:rsidRPr="00503570" w:rsidRDefault="00503570" w:rsidP="005035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3570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left" o:hrstd="t" o:hrnoshade="t" o:hr="t" fillcolor="black" stroked="f"/>
        </w:pic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b/>
          <w:bCs/>
          <w:sz w:val="24"/>
          <w:szCs w:val="24"/>
          <w:rtl/>
        </w:rPr>
        <w:t>پی نوشت ها</w:t>
      </w:r>
      <w:r w:rsidRPr="00503570">
        <w:rPr>
          <w:rFonts w:ascii="Tahoma" w:eastAsia="Times New Roman" w:hAnsi="Tahoma" w:cs="Tahoma"/>
          <w:b/>
          <w:bCs/>
          <w:sz w:val="24"/>
          <w:szCs w:val="24"/>
        </w:rPr>
        <w:t>: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1- </w:t>
      </w:r>
      <w:r w:rsidRPr="00503570">
        <w:rPr>
          <w:rFonts w:ascii="Tahoma" w:eastAsia="Times New Roman" w:hAnsi="Tahoma" w:cs="Tahoma"/>
          <w:sz w:val="24"/>
          <w:szCs w:val="24"/>
          <w:rtl/>
        </w:rPr>
        <w:t>غیبت نعمانى، ترجمه جواد غفارى، ص 202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2-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همان، ص 203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3-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كمال الدین، ج 2، ص 158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4- </w:t>
      </w:r>
      <w:r w:rsidRPr="00503570">
        <w:rPr>
          <w:rFonts w:ascii="Tahoma" w:eastAsia="Times New Roman" w:hAnsi="Tahoma" w:cs="Tahoma"/>
          <w:sz w:val="24"/>
          <w:szCs w:val="24"/>
          <w:rtl/>
        </w:rPr>
        <w:t>غیبت نعمانى، ص</w:t>
      </w:r>
      <w:proofErr w:type="gramStart"/>
      <w:r w:rsidRPr="00503570">
        <w:rPr>
          <w:rFonts w:ascii="Tahoma" w:eastAsia="Times New Roman" w:hAnsi="Tahoma" w:cs="Tahoma"/>
          <w:sz w:val="24"/>
          <w:szCs w:val="24"/>
          <w:rtl/>
        </w:rPr>
        <w:t>  243</w:t>
      </w:r>
      <w:proofErr w:type="gramEnd"/>
      <w:r w:rsidRPr="00503570">
        <w:rPr>
          <w:rFonts w:ascii="Tahoma" w:eastAsia="Times New Roman" w:hAnsi="Tahoma" w:cs="Tahoma"/>
          <w:sz w:val="24"/>
          <w:szCs w:val="24"/>
        </w:rPr>
        <w:t>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5-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كمال الدین، ص 59</w:t>
      </w:r>
      <w:r w:rsidRPr="00503570">
        <w:rPr>
          <w:rFonts w:ascii="Tahoma" w:eastAsia="Times New Roman" w:hAnsi="Tahoma" w:cs="Tahoma"/>
          <w:sz w:val="24"/>
          <w:szCs w:val="24"/>
        </w:rPr>
        <w:t>.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6- </w:t>
      </w:r>
      <w:r w:rsidRPr="00503570">
        <w:rPr>
          <w:rFonts w:ascii="Tahoma" w:eastAsia="Times New Roman" w:hAnsi="Tahoma" w:cs="Tahoma"/>
          <w:sz w:val="24"/>
          <w:szCs w:val="24"/>
          <w:rtl/>
        </w:rPr>
        <w:t>اصول كافى، كلینى، ج 1، ص 43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7-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همان، ص 338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8-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همان،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9- </w:t>
      </w:r>
      <w:proofErr w:type="gramStart"/>
      <w:r w:rsidRPr="00503570">
        <w:rPr>
          <w:rFonts w:ascii="Tahoma" w:eastAsia="Times New Roman" w:hAnsi="Tahoma" w:cs="Tahoma"/>
          <w:sz w:val="24"/>
          <w:szCs w:val="24"/>
          <w:rtl/>
        </w:rPr>
        <w:t>همان</w:t>
      </w:r>
      <w:r w:rsidRPr="00503570">
        <w:rPr>
          <w:rFonts w:ascii="Tahoma" w:eastAsia="Times New Roman" w:hAnsi="Tahoma" w:cs="Tahoma"/>
          <w:sz w:val="24"/>
          <w:szCs w:val="24"/>
        </w:rPr>
        <w:t xml:space="preserve"> .</w:t>
      </w:r>
      <w:proofErr w:type="gramEnd"/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10-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همان، ص 333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503570">
        <w:rPr>
          <w:rFonts w:ascii="Tahoma" w:eastAsia="Times New Roman" w:hAnsi="Tahoma" w:cs="Tahoma"/>
          <w:sz w:val="24"/>
          <w:szCs w:val="24"/>
        </w:rPr>
        <w:t xml:space="preserve">11- </w:t>
      </w:r>
      <w:r w:rsidRPr="00503570">
        <w:rPr>
          <w:rFonts w:ascii="Tahoma" w:eastAsia="Times New Roman" w:hAnsi="Tahoma" w:cs="Tahoma"/>
          <w:sz w:val="24"/>
          <w:szCs w:val="24"/>
          <w:rtl/>
        </w:rPr>
        <w:t>همان</w:t>
      </w: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</w:rPr>
        <w:t> </w:t>
      </w:r>
    </w:p>
    <w:p w:rsid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503570" w:rsidRPr="00503570" w:rsidRDefault="00503570" w:rsidP="00503570">
      <w:pPr>
        <w:spacing w:after="0" w:line="32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503570">
        <w:rPr>
          <w:rFonts w:ascii="Tahoma" w:eastAsia="Times New Roman" w:hAnsi="Tahoma" w:cs="Tahoma"/>
          <w:sz w:val="24"/>
          <w:szCs w:val="24"/>
          <w:rtl/>
        </w:rPr>
        <w:t>برگرفته از کتاب چشم به راه مهدى، جمعى از نویسندگان مجله حوزه</w:t>
      </w:r>
    </w:p>
    <w:p w:rsidR="00CF5D22" w:rsidRPr="00503570" w:rsidRDefault="00CF5D22" w:rsidP="00503570">
      <w:pPr>
        <w:rPr>
          <w:sz w:val="30"/>
          <w:szCs w:val="30"/>
        </w:rPr>
      </w:pPr>
      <w:bookmarkStart w:id="0" w:name="_GoBack"/>
      <w:bookmarkEnd w:id="0"/>
    </w:p>
    <w:sectPr w:rsidR="00CF5D22" w:rsidRPr="00503570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70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03570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3570"/>
  </w:style>
  <w:style w:type="character" w:styleId="Strong">
    <w:name w:val="Strong"/>
    <w:basedOn w:val="DefaultParagraphFont"/>
    <w:uiPriority w:val="22"/>
    <w:qFormat/>
    <w:rsid w:val="00503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3570"/>
  </w:style>
  <w:style w:type="character" w:styleId="Strong">
    <w:name w:val="Strong"/>
    <w:basedOn w:val="DefaultParagraphFont"/>
    <w:uiPriority w:val="22"/>
    <w:qFormat/>
    <w:rsid w:val="00503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188">
              <w:marLeft w:val="75"/>
              <w:marRight w:val="0"/>
              <w:marTop w:val="0"/>
              <w:marBottom w:val="0"/>
              <w:divBdr>
                <w:top w:val="double" w:sz="6" w:space="4" w:color="99CCFE"/>
                <w:left w:val="double" w:sz="6" w:space="0" w:color="99CCFE"/>
                <w:bottom w:val="double" w:sz="6" w:space="7" w:color="99CCFE"/>
                <w:right w:val="double" w:sz="6" w:space="7" w:color="99CCF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2015-05-17T18:46:00Z</dcterms:created>
  <dcterms:modified xsi:type="dcterms:W3CDTF">2015-05-17T18:50:00Z</dcterms:modified>
</cp:coreProperties>
</file>