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Pr="00BB760C" w:rsidRDefault="00BB760C" w:rsidP="00BB760C">
      <w:pPr>
        <w:spacing w:after="0"/>
        <w:jc w:val="center"/>
        <w:outlineLvl w:val="0"/>
        <w:rPr>
          <w:rFonts w:ascii="Tahoma" w:eastAsia="Times New Roman" w:hAnsi="Tahoma" w:cs="Tahoma"/>
          <w:b/>
          <w:bCs/>
          <w:kern w:val="36"/>
          <w:sz w:val="24"/>
          <w:szCs w:val="24"/>
        </w:rPr>
      </w:pPr>
      <w:r w:rsidRPr="00BB760C">
        <w:rPr>
          <w:rFonts w:ascii="Tahoma" w:eastAsia="Times New Roman" w:hAnsi="Tahoma" w:cs="Tahoma"/>
          <w:b/>
          <w:bCs/>
          <w:kern w:val="36"/>
          <w:sz w:val="24"/>
          <w:szCs w:val="24"/>
          <w:rtl/>
        </w:rPr>
        <w:t>آیا شب قدر با اختیارسازگارى دارد؟</w:t>
      </w:r>
    </w:p>
    <w:p w:rsidR="00BB760C" w:rsidRPr="00BB760C" w:rsidRDefault="00BB760C" w:rsidP="00BB760C">
      <w:pPr>
        <w:spacing w:after="0"/>
        <w:jc w:val="both"/>
        <w:rPr>
          <w:rFonts w:ascii="Times New Roman" w:eastAsia="Times New Roman" w:hAnsi="Times New Roman" w:cs="Times New Roman"/>
          <w:sz w:val="28"/>
          <w:szCs w:val="28"/>
          <w:rtl/>
        </w:rPr>
      </w:pPr>
      <w:r w:rsidRPr="00BB760C">
        <w:rPr>
          <w:rFonts w:ascii="Tahoma" w:eastAsia="Times New Roman" w:hAnsi="Tahoma" w:cs="Tahoma"/>
          <w:sz w:val="20"/>
          <w:szCs w:val="20"/>
        </w:rPr>
        <w:t> </w:t>
      </w:r>
    </w:p>
    <w:p w:rsidR="00BB760C" w:rsidRPr="00BB760C" w:rsidRDefault="00BB760C" w:rsidP="00BB760C">
      <w:pPr>
        <w:spacing w:after="150"/>
        <w:jc w:val="both"/>
        <w:rPr>
          <w:rFonts w:ascii="Tahoma" w:eastAsia="Times New Roman" w:hAnsi="Tahoma" w:cs="Tahoma"/>
          <w:sz w:val="20"/>
          <w:szCs w:val="20"/>
        </w:rPr>
      </w:pP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مى‏گویند در شب قدر مقدرات بندگان اعم از خیر و شر و ولادت و مرگ و خلاصه هر چه تا شب قدر سال آینده با آن مواجه مى‏شوند، تقدیر و معین مى‏گردد. اگرچنین باشد، هركس سرنوشتش تا سال آینده مشخص است. بنابراین، دردایره همین سرنوشت معین حركت مى‏كند واختیارى ازخود ندارد؛ زیرا با توجه به سرنوشتى كه درشب قدربرایش رقم خورده، حركت كرده است. بنابراین، زندگى جبر مطلق است؛ مخصوصا باعنایت ‏به این كه شب قدرهرسال تكرار مى‏شود، انسان از ولادت تا مرگ درسرنوشتى از پیش تعیین شده حركت مى‏كند؛ اختیارى ازخود ندارد و مانند عروسك خیمه شب بازى، اختیارش دست كسى است كه او را در دست گرفته است. آیا چنین نیست؟ براى پاسخ به پرسش دقیق شما اشاره به چند مساله ضرورت دارد</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p>
    <w:p w:rsidR="00BB760C" w:rsidRPr="00BB760C" w:rsidRDefault="00BB760C" w:rsidP="00BB760C">
      <w:pPr>
        <w:spacing w:after="0"/>
        <w:jc w:val="both"/>
        <w:outlineLvl w:val="1"/>
        <w:rPr>
          <w:rFonts w:ascii="Tahoma" w:eastAsia="Times New Roman" w:hAnsi="Tahoma" w:cs="Tahoma"/>
          <w:b/>
          <w:bCs/>
        </w:rPr>
      </w:pPr>
      <w:r w:rsidRPr="00BB760C">
        <w:rPr>
          <w:rFonts w:ascii="Tahoma" w:eastAsia="Times New Roman" w:hAnsi="Tahoma" w:cs="Tahoma"/>
          <w:b/>
          <w:bCs/>
          <w:rtl/>
        </w:rPr>
        <w:t>1- منظورازشب قدرچیست؟</w:t>
      </w:r>
    </w:p>
    <w:p w:rsidR="00BB760C" w:rsidRDefault="00BB760C" w:rsidP="00BB760C">
      <w:pPr>
        <w:spacing w:after="0"/>
        <w:jc w:val="both"/>
        <w:rPr>
          <w:rFonts w:ascii="Tahoma" w:eastAsia="Times New Roman" w:hAnsi="Tahoma" w:cs="Tahoma" w:hint="cs"/>
          <w:sz w:val="20"/>
          <w:szCs w:val="20"/>
          <w:rtl/>
        </w:rPr>
      </w:pPr>
    </w:p>
    <w:p w:rsidR="00BB760C" w:rsidRPr="00BB760C" w:rsidRDefault="00BB760C" w:rsidP="00BB760C">
      <w:pPr>
        <w:spacing w:after="0"/>
        <w:jc w:val="both"/>
        <w:rPr>
          <w:rFonts w:ascii="Times New Roman" w:eastAsia="Times New Roman" w:hAnsi="Times New Roman" w:cs="Times New Roman"/>
          <w:sz w:val="28"/>
          <w:szCs w:val="28"/>
          <w:rtl/>
        </w:rPr>
      </w:pPr>
      <w:r w:rsidRPr="00BB760C">
        <w:rPr>
          <w:rFonts w:ascii="Tahoma" w:eastAsia="Times New Roman" w:hAnsi="Tahoma" w:cs="Tahoma"/>
          <w:sz w:val="20"/>
          <w:szCs w:val="20"/>
          <w:rtl/>
        </w:rPr>
        <w:t>شب قدریكى ازشب‏هاى دهه آخرماه رمضان است. طبق روایات ما، یكى از شب‏هاى نوزدهم یا بیست و یكم و به احتمال زیاد بیست و سوم ماه مبارك رمضان، شب قدر است.(1)دراین شب كه شب نزول قرآن به شمار مى‏آید، امورخیر و شر مردم و ولادت و مرگ و روزى و حج و طاعت و گناه و خلاصه هرحادثه‏اى كه درطول سال واقع مى‏شود، تقدیر مى‏گردد.(2)شب قدرهمیشه وهر سال تكرار مى‏شود . عبادت درآن شب فضیلت فراوان دارد و در نیكویى سرنوشت‏ یك ساله بسیارمؤثر است.(3)دراین شب تمام حوادث سال آینده به امام هر زمان ارائه مى‏شود و وى از سرنوشت‏ خود و دیگران با خبر مى‏گردد . امام باقرعلیه السلام مى‏فرماید: " انه ینزل فى لیلة القدر الى ولى الامر تفسیر الامور سنة سنة، یؤمر فى امر نفسه بكذا و كذا و فى امرالناس بكذا و كذا؛ درشب قدر به ولى امر(امام هر زمان) تفسیركارها و حوادث نازل مى‏شود و وى درباره خویش و دیگر مردمان مامور به دستورهایى مى‏شود." (4</w:t>
      </w:r>
      <w:r>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پس شب قدرشبى است كه: قرآن درآن نازل شده است، حوادث سال آینده درآن تقدیرمى‏شود، این حوادث برامام زمان - روحى فداه - عرضه و آن حضرت مامور به كارهایى مى‏گردد. بنابراین، مى‏توان گفت ‏شب قدر، شب تقدیر و شب اندازه‏گیرى و شب تعیین حوادث جهان ماده است</w:t>
      </w:r>
      <w:r w:rsidRPr="00BB760C">
        <w:rPr>
          <w:rFonts w:ascii="Tahoma" w:eastAsia="Times New Roman" w:hAnsi="Tahoma" w:cs="Tahoma"/>
          <w:sz w:val="20"/>
          <w:szCs w:val="20"/>
        </w:rPr>
        <w:t xml:space="preserve"> .</w:t>
      </w:r>
    </w:p>
    <w:p w:rsidR="00BB760C" w:rsidRPr="00BB760C" w:rsidRDefault="00BB760C" w:rsidP="00BB760C">
      <w:pPr>
        <w:spacing w:after="0"/>
        <w:jc w:val="both"/>
        <w:rPr>
          <w:rFonts w:ascii="Tahoma" w:eastAsia="Times New Roman" w:hAnsi="Tahoma" w:cs="Tahoma"/>
          <w:sz w:val="20"/>
          <w:szCs w:val="20"/>
        </w:rPr>
      </w:pPr>
    </w:p>
    <w:p w:rsidR="00BB760C" w:rsidRPr="00BB760C" w:rsidRDefault="00BB760C" w:rsidP="00BB760C">
      <w:pPr>
        <w:spacing w:after="0"/>
        <w:jc w:val="both"/>
        <w:outlineLvl w:val="1"/>
        <w:rPr>
          <w:rFonts w:ascii="Tahoma" w:eastAsia="Times New Roman" w:hAnsi="Tahoma" w:cs="Tahoma"/>
          <w:b/>
          <w:bCs/>
        </w:rPr>
      </w:pPr>
      <w:r w:rsidRPr="00BB760C">
        <w:rPr>
          <w:rFonts w:ascii="Tahoma" w:eastAsia="Times New Roman" w:hAnsi="Tahoma" w:cs="Tahoma"/>
          <w:b/>
          <w:bCs/>
          <w:rtl/>
        </w:rPr>
        <w:t>2- معناى قدروتقدیرچیست؟</w:t>
      </w:r>
    </w:p>
    <w:p w:rsidR="00BB760C" w:rsidRPr="00BB760C" w:rsidRDefault="00BB760C" w:rsidP="00BB760C">
      <w:pPr>
        <w:spacing w:after="0"/>
        <w:jc w:val="both"/>
        <w:rPr>
          <w:rFonts w:ascii="Times New Roman" w:eastAsia="Times New Roman" w:hAnsi="Times New Roman" w:cs="Times New Roman"/>
          <w:sz w:val="28"/>
          <w:szCs w:val="28"/>
          <w:rtl/>
        </w:rPr>
      </w:pPr>
      <w:r w:rsidRPr="00BB760C">
        <w:rPr>
          <w:rFonts w:ascii="Tahoma" w:eastAsia="Times New Roman" w:hAnsi="Tahoma" w:cs="Tahoma"/>
          <w:sz w:val="20"/>
          <w:szCs w:val="20"/>
          <w:rtl/>
        </w:rPr>
        <w:t>قدردرلغت ‏به معناى اندازه واندازه‏گیرى است.(5)  تقدیر نیز به معناى اندازه‏گیرى و تعیین است.(6)  اما معناى اصطلاحى قدرعبارت است ازویژگى هستى و وجود هرچیز و چگونگى آفرینش آن؛ (7)  به عبارت دیگر، اندازه و محدوده وجودى هر چیز قدرنام دارد.(8)  یعنى درنظام آفرینش هرچیزى اندازه‏اى خاص دارد و هیچ چیز بى حساب و كتاب نیست. جهان حساب و كتاب دارد، براساس نظم ریاضى تنظیم شده و گذشته و حال و آینده آن با هم ارتباط دارد. استاد مطهرى در تعریف قدر مى‏فرماید: " . . . قدر به معناى اندازه و تعیین است . . . حوادث جهان . . . از آن جهت كه حدود و اندازه و موقعیت مكانى و زمانى آن‏ها تعیین شده است، مقدوربه تقدیرالاهى است." (9)  پس در یك كلام قدر به معناى ویژگى‏هاى طبیعى و جسمانى چیزها است كه شامل اندازه و حدود و طول و عرض و موقعیت‏هاى مكانى و زمانى آن‏ها مى‏گردد و تمام موجودات مادى و طبیعى را در بر مى‏گیرد. این معنا از روایات استفاده مى‏شود؛ چنان كه در روایتى از امام رضا علیه السلام پرسیده شد: معناى قدرچیست؟ فرمود: " تقدیرالشى‏ء طوله وعرضه؛ اندازه‏گیرى هرچیز اعم از طول و عرض آن(10)در روایت دیگر، این امام بزرگواردر معناى قدر فرمود: " هندسة شى‏ء من طول و العرض و البقاء؛ اندازه هر چیزاعم ازطول وعرض و بقا." (11</w:t>
      </w:r>
      <w:r>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بنابراین، معناى تقدیرالاهى این است كه درجهان مادى آفریده‏ها ازحیث هستى و آثار و و یژگى‏هایشان محدوده‏اى خاص دارند. این محدوده با امورى خاص مرتبط است؛ امورى كه علت‏ها و شرایط آن‏ها هستند و به دلیل اختلاف علل و شرایط، هستى و آثار و ویژگى‏هاى موجودات مادى نیز متفاوت است. هر موجود مادى به وسیله قالب‏هایى از داخل و خارج اندازه‏گیرى و قالب‏گیرى مى‏شود. این قالب حدود یعنى طول وعرض و شكل و رنگ و موقعیت مكانى و زمانى و سایرعوارض و ویژگى‏هاى مادى آن به شمارمى‏آید. پس معناى تقدیرالاهى در موجودات مادى یعنى هدایت آن‏ها به سوى مسیر هستى شان كه براى آن‏ها مقدرگردیده است و درآن قالب‏گیرى شده‏اند.(12</w:t>
      </w:r>
      <w:r>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hint="cs"/>
          <w:sz w:val="20"/>
          <w:szCs w:val="20"/>
        </w:rPr>
      </w:pPr>
    </w:p>
    <w:p w:rsidR="00BB760C" w:rsidRPr="00BB760C" w:rsidRDefault="00BB760C" w:rsidP="00BB760C">
      <w:pPr>
        <w:spacing w:after="0"/>
        <w:jc w:val="both"/>
        <w:outlineLvl w:val="1"/>
        <w:rPr>
          <w:rFonts w:ascii="Tahoma" w:eastAsia="Times New Roman" w:hAnsi="Tahoma" w:cs="Tahoma"/>
          <w:b/>
          <w:bCs/>
        </w:rPr>
      </w:pPr>
      <w:r w:rsidRPr="00BB760C">
        <w:rPr>
          <w:rFonts w:ascii="Tahoma" w:eastAsia="Times New Roman" w:hAnsi="Tahoma" w:cs="Tahoma"/>
          <w:b/>
          <w:bCs/>
          <w:rtl/>
        </w:rPr>
        <w:t>3- تعبیر فلسفى قدر، اصل علیت است</w:t>
      </w:r>
    </w:p>
    <w:p w:rsidR="00BB760C" w:rsidRPr="00BB760C" w:rsidRDefault="00BB760C" w:rsidP="00BB760C">
      <w:pPr>
        <w:spacing w:after="0"/>
        <w:jc w:val="both"/>
        <w:rPr>
          <w:rFonts w:ascii="Times New Roman" w:eastAsia="Times New Roman" w:hAnsi="Times New Roman" w:cs="Times New Roman"/>
          <w:sz w:val="28"/>
          <w:szCs w:val="28"/>
          <w:rtl/>
        </w:rPr>
      </w:pPr>
      <w:proofErr w:type="gramStart"/>
      <w:r w:rsidRPr="00BB760C">
        <w:rPr>
          <w:rFonts w:ascii="Tahoma" w:eastAsia="Times New Roman" w:hAnsi="Tahoma" w:cs="Tahoma"/>
          <w:sz w:val="20"/>
          <w:szCs w:val="20"/>
        </w:rPr>
        <w:lastRenderedPageBreak/>
        <w:t xml:space="preserve">" </w:t>
      </w:r>
      <w:r w:rsidRPr="00BB760C">
        <w:rPr>
          <w:rFonts w:ascii="Tahoma" w:eastAsia="Times New Roman" w:hAnsi="Tahoma" w:cs="Tahoma"/>
          <w:sz w:val="20"/>
          <w:szCs w:val="20"/>
          <w:rtl/>
        </w:rPr>
        <w:t>اصل</w:t>
      </w:r>
      <w:proofErr w:type="gramEnd"/>
      <w:r w:rsidRPr="00BB760C">
        <w:rPr>
          <w:rFonts w:ascii="Tahoma" w:eastAsia="Times New Roman" w:hAnsi="Tahoma" w:cs="Tahoma"/>
          <w:sz w:val="20"/>
          <w:szCs w:val="20"/>
          <w:rtl/>
        </w:rPr>
        <w:t xml:space="preserve"> علیت همان پیوند ضرورى و قطعى حوادث با یكدیگر و این كه هر حادثه‏اى تحتم و قطعیت ضرورى و قطعى خود را و همچنین تقدروخصوصیات وجودى خود را ازامرى یا امورى مقدم برخود گرفته است. (13) اصل علیت عمومى و نظام اسباب و مسببات برجهان و جمیع وقایع و حوادث جهان حكمفرما است و هرحادثى، ضرورت و قطعیت وجود خود را و همچنین شكل و خصوصیت زمانى و مكانى و سایر خصوصیات وجودى خود را ازعلل متقدمه خود كسب كرده است و یك پیوند ناگسستى میان گذشته و حال واستقبال میان هرموجودى وعلل متقدمه او هست." (14)اما علل موجودات مادى تركیبى ازفاعل و ماده و شرایط وعدم موانع است كه هر یك تاثیر خاص برآن دارند و مجموع این تاثیرها قالب وجودى خاصى را شكل مى‏دهند. اگر تمام این علل و شرایط وعدم موانع كنارهم گرد آیند، علت تامه ساخته مى‏شود و معلول خود را ضرورت و وجود مى‏دهد كه ازآن درمتون دینى به قضاى الهی تعبیرمى‏شود. اما هرموجودى با توجه به علل و شرایط خود قالبى خاص دارد كه عوارض و ویژگى‏هاى وجودى‏اش را مى‏سازد و درمتون دینى ازآن به قدرالهی تعبیر مى‏شود. پس این كه مى‏گویند درشب قدرهمه مقدرات تقدیرمى‏گردد، معنایش آن است كه قالب معین و اندازه خاص هر پدیده روشن و اندازه‏گیرى مى‏شود. این اندازه‏گیرى حتمى نیست؛ زیرا درعالم طبیعت رخ مى‏دهد كه جهان تغییراست و شرایط و موانعى خاص دارد. دراین عالم، وجود اشیاء تنها درصورتى قطعیت مى‏یابد كه علت تامه شان موجود شود؛ یعنى تمام شرایط موجود و همه موانع مفقود گردد و فاعل نیزتاثیربخشد.(15</w:t>
      </w:r>
      <w:r>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با توجه به مقدمه فوق، رابطه شب قدروتعیین سرنوشت ‏بندگان و كرداراختیارى آن ها روشن مى‏شود." قدر" یعنى پیوند و شكل گرفتن هرپدیده وهرحادثه با سلسله علل خود ودرشب قدراین پیوند دقیقا اندازه‏گیرى مى‏گردد. اولا، براى امام هر زمان این پیوند معلوم و تفسیرمى‏شود؛ و ثانیا، رابطه این پدیده‏ها با علل خود روشن مى‏گردد. خداوند متعال چنان مقدر كرده است كه بین اشیاء رابطه‏اى خاص برقرار باشد؛ مثلا بین عزت و دفاع ازكیان و ذلت و پذیرش ستم رابطه است. هركس ازكیان خود دفاع كند،عزیزمى‏شود و هركس تسلیم زور و ستم شود، ذلیل مى‏گردد. این تقدیرالهی است. یا بین طول عمر و رعایت ‏بهداشت و ترك بعضى گناهان مثل قطع صله رحم و دادن صدقه رابطه برقراركرده و فرموده است: هركس طول عمرمى‏خواهد باید دراین قالب قرارگیرد. آن كه این شرایط را مهیا كرد، طول عمرمى‏یابد و آن كه دراین اموركوتاهى كرد، عمرش كوتاه مى‏گردد. پس درافعال و كرداراختیارى بین عمل و نتیجه كه همان تقدیرالهی است، رابطه مستقیم وجود دارد. انسان تا زنده است، جاده‏اى دو طرفه در برابرش قراردارد: یا با حسن اختیار،كمیل بن زیاد نخعى، كه صاحب اسرارامیر مؤمنان علیه السلام مى‏گردد و یا با سوء اختیار،حارث بن زیاد نخعى، قاتل فرزندان مسلم مى‏شود. دو برادرازیك پدرو مادر، یكى سعید و دیگرى شقى. پس معناى صحیح تقدیرالهی این است: آن كه با حسن اختیارخود به جاده صواب رفت، كمیل مى‏شود و آن كه با سوء اختیارخود به بیراهه گناه و انحراف پا گذاشت، حارث مى‏گردد. بین تقدیرالهی و اختیارآدمى هیچ منافاتى وجود ندارد، زیرا درسلسله علل و شرایط به ثمر رسیدن كار و ایجاد حادثه، اراده آدمى یكى ازعلل واسباب است و قدر جانشین اراده واختیارآدمى نمى‏شود تا همچون عروسك خیمه شب بازى جلوه كند.در كرداراختیارى، بین كردار و تقدیر رابطه مستقیم ازنوع رابطه شرایط و معدات با معلول وجود دارد و درافعال اختیارى ما، یكى ازعوامل و اسباب و علل، فعل اختیارى انسان است</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جهان براساس نظم ریاضى برپا شده است و هرپدیده‏اى علت و سبب خاص دارد. تاثیرآتش، گرما و سوزاندن است و تاثیرآب، سرما وخاموش كردن است. ما به دلیل این كه در بند زندگانى مادى محصوریم، ازگذشته و حال و آینده بى خبریم و جریان حوادث و پدیده‏ها برایمان نامعلوم است وگرنه تقدیرالهیبى حساب و كتاب نیست و براساس نظمى خاص قراردارد. آن كه با حسن اختیارخود كردارنیك انجام دهد یا مخلصانه دعایى بخواند، نتیجه آن را دراین جهان مى‏بیند و آن كه براثرسوء اختیارگناهى مرتكب شود، نتیجه تلخ آن را مى‏چشد</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پس این كه فرموده‏اند درشب قدرمقدرات بندگان اعم ازمرگ و زندگى و ولادت و زیارت و... تقدیر مى‏شود، همگى با حفظ علل و شرایط وعدم موانع است كه اختیار یكى ازعلل و شرایط آن به شمار مى‏آید. به این دلیل است كه سفارش شده آن شب مخصوص را به شب زنده دارى و عبادت و دعا سپرى كنید، تا این عمل درآن شب خاص كه ازهزار شب برتر است، شرایط نزول فیض الهی را فراهم آورد. چنین نیست كه اگركسى درطول سال كارى انجام داد، این تقدیررا تغییر ندهد؛ زیرا تقدیرتغییرپذیراست و با توجه به مقدمات آن تغییر مى‏كند</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tl/>
        </w:rPr>
        <w:t xml:space="preserve">نكته آخراین كه خداوند مى‏داند هرچیزدرزمان ومكان خاص به چه صورت و با توجه به كدام شرایط وعلل تحقق مى‏یابد و مى‏داند كه فلان انسان با اختیار خود، كارى خاص انجام مى‏دهد. فعل اختیارى انسان با وصف اختیارى بودن متعلق علم ازلى خداوند است كه درشب قدرو بلكه درتمام زمان‏ها به امام زمان سلام الله علیه وعجل الله تعالى فرجه الشریف منتقل مى‏شود. این امر با اختیار منافات ندارد و حتى برآن تاكید مى‏ورزد؛ مثلا معلم كاردان و مجرب به خوبى مى‏داند كدام یك ازدانش‏آموزانش به دلیل تلاش فردى و استعداد لازم با رتبه بالا قبول مى‏شود و كدام یك به دلیل تلاش یا استعداد كم‏تر در حد متوسط نمره مى‏آورد و كدام یك به دلیل تنبلى تجدید مى‏شود. علم معلم به دلیل علم او به علت‏ها است و نفى كننده تلاش دانش‏آموزانش نیست. درشب قدر همه كرداراختیارى انسان با وصف اختیارى بودن مقدرو اندازه‏گیرى و قالب بندى مى‏شود. خدا، عالم را به علت‏ها و </w:t>
      </w:r>
      <w:r w:rsidRPr="00BB760C">
        <w:rPr>
          <w:rFonts w:ascii="Tahoma" w:eastAsia="Times New Roman" w:hAnsi="Tahoma" w:cs="Tahoma"/>
          <w:sz w:val="20"/>
          <w:szCs w:val="20"/>
          <w:rtl/>
        </w:rPr>
        <w:lastRenderedPageBreak/>
        <w:t>براساس نظم ساخته، اشیاى این جهان را برنامه ریزى مى‏كند و اختیار یكى از مبادى این جهان مادى است.(16</w:t>
      </w:r>
      <w:r>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hint="cs"/>
          <w:sz w:val="20"/>
          <w:szCs w:val="20"/>
        </w:rPr>
      </w:pPr>
    </w:p>
    <w:p w:rsidR="00BB760C" w:rsidRDefault="00BB760C" w:rsidP="00BB760C">
      <w:pPr>
        <w:spacing w:after="0"/>
        <w:jc w:val="both"/>
        <w:outlineLvl w:val="1"/>
        <w:rPr>
          <w:rFonts w:ascii="Tahoma" w:eastAsia="Times New Roman" w:hAnsi="Tahoma" w:cs="Tahoma" w:hint="cs"/>
          <w:b/>
          <w:bCs/>
          <w:rtl/>
        </w:rPr>
      </w:pPr>
    </w:p>
    <w:p w:rsidR="00BB760C" w:rsidRPr="00BB760C" w:rsidRDefault="00BB760C" w:rsidP="00BB760C">
      <w:pPr>
        <w:spacing w:after="0"/>
        <w:jc w:val="both"/>
        <w:outlineLvl w:val="1"/>
        <w:rPr>
          <w:rFonts w:ascii="Tahoma" w:eastAsia="Times New Roman" w:hAnsi="Tahoma" w:cs="Tahoma"/>
          <w:b/>
          <w:bCs/>
        </w:rPr>
      </w:pPr>
      <w:r w:rsidRPr="00BB760C">
        <w:rPr>
          <w:rFonts w:ascii="Tahoma" w:eastAsia="Times New Roman" w:hAnsi="Tahoma" w:cs="Tahoma"/>
          <w:b/>
          <w:bCs/>
          <w:rtl/>
        </w:rPr>
        <w:t>پى‏نوشت‏ها:</w:t>
      </w:r>
    </w:p>
    <w:p w:rsidR="00BB760C" w:rsidRPr="00BB760C" w:rsidRDefault="00BB760C" w:rsidP="00BB760C">
      <w:pPr>
        <w:spacing w:after="0"/>
        <w:jc w:val="both"/>
        <w:rPr>
          <w:rFonts w:ascii="Tahoma" w:eastAsia="Times New Roman" w:hAnsi="Tahoma" w:cs="Tahoma"/>
          <w:sz w:val="20"/>
          <w:szCs w:val="20"/>
          <w:rtl/>
        </w:rPr>
      </w:pPr>
      <w:r w:rsidRPr="00BB760C">
        <w:rPr>
          <w:rFonts w:ascii="Tahoma" w:eastAsia="Times New Roman" w:hAnsi="Tahoma" w:cs="Tahoma"/>
          <w:sz w:val="20"/>
          <w:szCs w:val="20"/>
        </w:rPr>
        <w:t xml:space="preserve">1- </w:t>
      </w:r>
      <w:r w:rsidRPr="00BB760C">
        <w:rPr>
          <w:rFonts w:ascii="Tahoma" w:eastAsia="Times New Roman" w:hAnsi="Tahoma" w:cs="Tahoma"/>
          <w:sz w:val="20"/>
          <w:szCs w:val="20"/>
          <w:rtl/>
        </w:rPr>
        <w:t>اقبال الاعمال، سید بن طاووس، تحقیق و تصحیح جواد قیومى اصفهانى، ج‏1،صص 312 و 313 و 374 و 375</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 2- </w:t>
      </w:r>
      <w:r w:rsidRPr="00BB760C">
        <w:rPr>
          <w:rFonts w:ascii="Tahoma" w:eastAsia="Times New Roman" w:hAnsi="Tahoma" w:cs="Tahoma"/>
          <w:sz w:val="20"/>
          <w:szCs w:val="20"/>
          <w:rtl/>
        </w:rPr>
        <w:t>الكافى، كلینى، ج‏4، ص 157</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3- </w:t>
      </w:r>
      <w:r w:rsidRPr="00BB760C">
        <w:rPr>
          <w:rFonts w:ascii="Tahoma" w:eastAsia="Times New Roman" w:hAnsi="Tahoma" w:cs="Tahoma"/>
          <w:sz w:val="20"/>
          <w:szCs w:val="20"/>
          <w:rtl/>
        </w:rPr>
        <w:t>المراقبات، ملكى تبریزى، ص، 237- 252</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4- </w:t>
      </w:r>
      <w:r w:rsidRPr="00BB760C">
        <w:rPr>
          <w:rFonts w:ascii="Tahoma" w:eastAsia="Times New Roman" w:hAnsi="Tahoma" w:cs="Tahoma"/>
          <w:sz w:val="20"/>
          <w:szCs w:val="20"/>
          <w:rtl/>
        </w:rPr>
        <w:t>الكافى، ج‏1، ص 248</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5- </w:t>
      </w:r>
      <w:r w:rsidRPr="00BB760C">
        <w:rPr>
          <w:rFonts w:ascii="Tahoma" w:eastAsia="Times New Roman" w:hAnsi="Tahoma" w:cs="Tahoma"/>
          <w:sz w:val="20"/>
          <w:szCs w:val="20"/>
          <w:rtl/>
        </w:rPr>
        <w:t>قاموس قرآن، سید على اكبرقرشى، ج‏5،صص 246 و 247</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6- </w:t>
      </w:r>
      <w:r w:rsidRPr="00BB760C">
        <w:rPr>
          <w:rFonts w:ascii="Tahoma" w:eastAsia="Times New Roman" w:hAnsi="Tahoma" w:cs="Tahoma"/>
          <w:sz w:val="20"/>
          <w:szCs w:val="20"/>
          <w:rtl/>
        </w:rPr>
        <w:t>همان، ص 248</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7- </w:t>
      </w:r>
      <w:r w:rsidRPr="00BB760C">
        <w:rPr>
          <w:rFonts w:ascii="Tahoma" w:eastAsia="Times New Roman" w:hAnsi="Tahoma" w:cs="Tahoma"/>
          <w:sz w:val="20"/>
          <w:szCs w:val="20"/>
          <w:rtl/>
        </w:rPr>
        <w:t>المیزان، سید محمد حسین طباطبایى، ج‏12 ص 150 و 151</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proofErr w:type="gramStart"/>
      <w:r w:rsidRPr="00BB760C">
        <w:rPr>
          <w:rFonts w:ascii="Tahoma" w:eastAsia="Times New Roman" w:hAnsi="Tahoma" w:cs="Tahoma"/>
          <w:sz w:val="20"/>
          <w:szCs w:val="20"/>
        </w:rPr>
        <w:t>8-</w:t>
      </w:r>
      <w:r w:rsidRPr="00BB760C">
        <w:rPr>
          <w:rFonts w:ascii="Tahoma" w:eastAsia="Times New Roman" w:hAnsi="Tahoma" w:cs="Tahoma"/>
          <w:sz w:val="20"/>
          <w:szCs w:val="20"/>
          <w:rtl/>
        </w:rPr>
        <w:t>همان، ج‏19، ص 101</w:t>
      </w:r>
      <w:r w:rsidRPr="00BB760C">
        <w:rPr>
          <w:rFonts w:ascii="Tahoma" w:eastAsia="Times New Roman" w:hAnsi="Tahoma" w:cs="Tahoma"/>
          <w:sz w:val="20"/>
          <w:szCs w:val="20"/>
        </w:rPr>
        <w:t>.</w:t>
      </w:r>
      <w:proofErr w:type="gramEnd"/>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9- </w:t>
      </w:r>
      <w:r w:rsidRPr="00BB760C">
        <w:rPr>
          <w:rFonts w:ascii="Tahoma" w:eastAsia="Times New Roman" w:hAnsi="Tahoma" w:cs="Tahoma"/>
          <w:sz w:val="20"/>
          <w:szCs w:val="20"/>
          <w:rtl/>
        </w:rPr>
        <w:t>انسان و سرنوشت، شهید مطهرى، ص 52</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10- </w:t>
      </w:r>
      <w:r w:rsidRPr="00BB760C">
        <w:rPr>
          <w:rFonts w:ascii="Tahoma" w:eastAsia="Times New Roman" w:hAnsi="Tahoma" w:cs="Tahoma"/>
          <w:sz w:val="20"/>
          <w:szCs w:val="20"/>
          <w:rtl/>
        </w:rPr>
        <w:t>المحاسن البرقى، ج‏1، ص 244</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11- </w:t>
      </w:r>
      <w:r w:rsidRPr="00BB760C">
        <w:rPr>
          <w:rFonts w:ascii="Tahoma" w:eastAsia="Times New Roman" w:hAnsi="Tahoma" w:cs="Tahoma"/>
          <w:sz w:val="20"/>
          <w:szCs w:val="20"/>
          <w:rtl/>
        </w:rPr>
        <w:t>بحارالانوار، ج‏5، ص 122</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12- </w:t>
      </w:r>
      <w:r w:rsidRPr="00BB760C">
        <w:rPr>
          <w:rFonts w:ascii="Tahoma" w:eastAsia="Times New Roman" w:hAnsi="Tahoma" w:cs="Tahoma"/>
          <w:sz w:val="20"/>
          <w:szCs w:val="20"/>
          <w:rtl/>
        </w:rPr>
        <w:t>المیزان، ج‏19،صص 101- 103</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13- </w:t>
      </w:r>
      <w:r w:rsidRPr="00BB760C">
        <w:rPr>
          <w:rFonts w:ascii="Tahoma" w:eastAsia="Times New Roman" w:hAnsi="Tahoma" w:cs="Tahoma"/>
          <w:sz w:val="20"/>
          <w:szCs w:val="20"/>
          <w:rtl/>
        </w:rPr>
        <w:t>انسان و سرنوشت، ص 53</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14- </w:t>
      </w:r>
      <w:r w:rsidRPr="00BB760C">
        <w:rPr>
          <w:rFonts w:ascii="Tahoma" w:eastAsia="Times New Roman" w:hAnsi="Tahoma" w:cs="Tahoma"/>
          <w:sz w:val="20"/>
          <w:szCs w:val="20"/>
          <w:rtl/>
        </w:rPr>
        <w:t>همان،صص 55 و 56</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15- </w:t>
      </w:r>
      <w:r w:rsidRPr="00BB760C">
        <w:rPr>
          <w:rFonts w:ascii="Tahoma" w:eastAsia="Times New Roman" w:hAnsi="Tahoma" w:cs="Tahoma"/>
          <w:sz w:val="20"/>
          <w:szCs w:val="20"/>
          <w:rtl/>
        </w:rPr>
        <w:t>براى مطالعه بیش‏تر بحث ‏حاضر به ویژه از دیدگاه فلسفى به کتاب انسان و سرنوشت اثرمتفكرشهید استاد مطهرىرجوع نمایید</w:t>
      </w:r>
      <w:r w:rsidRPr="00BB760C">
        <w:rPr>
          <w:rFonts w:ascii="Tahoma" w:eastAsia="Times New Roman" w:hAnsi="Tahoma" w:cs="Tahoma"/>
          <w:sz w:val="20"/>
          <w:szCs w:val="20"/>
        </w:rPr>
        <w:t>.</w:t>
      </w:r>
    </w:p>
    <w:p w:rsidR="00BB760C" w:rsidRPr="00BB760C" w:rsidRDefault="00BB760C" w:rsidP="00BB760C">
      <w:pPr>
        <w:spacing w:after="0"/>
        <w:jc w:val="both"/>
        <w:rPr>
          <w:rFonts w:ascii="Tahoma" w:eastAsia="Times New Roman" w:hAnsi="Tahoma" w:cs="Tahoma"/>
          <w:sz w:val="20"/>
          <w:szCs w:val="20"/>
        </w:rPr>
      </w:pPr>
      <w:r w:rsidRPr="00BB760C">
        <w:rPr>
          <w:rFonts w:ascii="Tahoma" w:eastAsia="Times New Roman" w:hAnsi="Tahoma" w:cs="Tahoma"/>
          <w:sz w:val="20"/>
          <w:szCs w:val="20"/>
        </w:rPr>
        <w:t xml:space="preserve">16- </w:t>
      </w:r>
      <w:r w:rsidRPr="00BB760C">
        <w:rPr>
          <w:rFonts w:ascii="Tahoma" w:eastAsia="Times New Roman" w:hAnsi="Tahoma" w:cs="Tahoma"/>
          <w:sz w:val="20"/>
          <w:szCs w:val="20"/>
          <w:rtl/>
        </w:rPr>
        <w:t>درباره علم پیشین خداوند و اختیارانسان، به کتاب علم پیشین الاهى واختیارانسان اثرمحمد سعیدى مهر، پژوهشگاه فرهنگ و اندیشه اسلامى رجوع کنید</w:t>
      </w:r>
      <w:r w:rsidRPr="00BB760C">
        <w:rPr>
          <w:rFonts w:ascii="Tahoma" w:eastAsia="Times New Roman" w:hAnsi="Tahoma" w:cs="Tahoma"/>
          <w:sz w:val="20"/>
          <w:szCs w:val="20"/>
        </w:rPr>
        <w:t>.</w:t>
      </w:r>
    </w:p>
    <w:p w:rsidR="00CF5D22" w:rsidRDefault="00CF5D22" w:rsidP="00BB760C">
      <w:pPr>
        <w:jc w:val="both"/>
        <w:rPr>
          <w:rFonts w:hint="cs"/>
          <w:sz w:val="26"/>
          <w:szCs w:val="26"/>
          <w:rtl/>
        </w:rPr>
      </w:pPr>
      <w:bookmarkStart w:id="0" w:name="_GoBack"/>
      <w:bookmarkEnd w:id="0"/>
    </w:p>
    <w:p w:rsidR="00BB760C" w:rsidRPr="00BB760C" w:rsidRDefault="00BB760C" w:rsidP="00BB760C">
      <w:pPr>
        <w:jc w:val="both"/>
        <w:rPr>
          <w:b/>
          <w:bCs/>
          <w:sz w:val="26"/>
          <w:szCs w:val="26"/>
        </w:rPr>
      </w:pPr>
      <w:r w:rsidRPr="00BB760C">
        <w:rPr>
          <w:rFonts w:hint="cs"/>
          <w:b/>
          <w:bCs/>
          <w:sz w:val="26"/>
          <w:szCs w:val="26"/>
          <w:rtl/>
        </w:rPr>
        <w:t>منبع: تبیان</w:t>
      </w:r>
    </w:p>
    <w:sectPr w:rsidR="00BB760C" w:rsidRPr="00BB760C"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0C"/>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B760C"/>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760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76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6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6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760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76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6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6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2519">
      <w:bodyDiv w:val="1"/>
      <w:marLeft w:val="0"/>
      <w:marRight w:val="0"/>
      <w:marTop w:val="0"/>
      <w:marBottom w:val="0"/>
      <w:divBdr>
        <w:top w:val="none" w:sz="0" w:space="0" w:color="auto"/>
        <w:left w:val="none" w:sz="0" w:space="0" w:color="auto"/>
        <w:bottom w:val="none" w:sz="0" w:space="0" w:color="auto"/>
        <w:right w:val="none" w:sz="0" w:space="0" w:color="auto"/>
      </w:divBdr>
      <w:divsChild>
        <w:div w:id="1132560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2015-06-18T07:50:00Z</dcterms:created>
  <dcterms:modified xsi:type="dcterms:W3CDTF">2015-06-18T10:49:00Z</dcterms:modified>
</cp:coreProperties>
</file>