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B7" w:rsidRPr="00511AB7" w:rsidRDefault="00511AB7" w:rsidP="0069467C">
      <w:pPr>
        <w:bidi w:val="0"/>
        <w:spacing w:after="0" w:line="405" w:lineRule="atLeast"/>
        <w:jc w:val="right"/>
        <w:textAlignment w:val="baseline"/>
        <w:outlineLvl w:val="0"/>
        <w:rPr>
          <w:rFonts w:ascii="Tahoma" w:eastAsia="Times New Roman" w:hAnsi="Tahoma" w:cs="B Zar"/>
          <w:b/>
          <w:bCs/>
          <w:noProof w:val="0"/>
          <w:color w:val="3B3B3B"/>
          <w:kern w:val="36"/>
          <w:sz w:val="24"/>
          <w:szCs w:val="24"/>
        </w:rPr>
      </w:pPr>
      <w:bookmarkStart w:id="0" w:name="_GoBack"/>
      <w:r w:rsidRPr="00511AB7">
        <w:rPr>
          <w:rFonts w:ascii="Tahoma" w:eastAsia="Times New Roman" w:hAnsi="Tahoma" w:cs="B Zar"/>
          <w:b/>
          <w:bCs/>
          <w:noProof w:val="0"/>
          <w:color w:val="3B3B3B"/>
          <w:kern w:val="36"/>
          <w:sz w:val="24"/>
          <w:szCs w:val="24"/>
          <w:rtl/>
        </w:rPr>
        <w:t>علی (ع) معجزه‌ی بزرگ الهی</w:t>
      </w:r>
    </w:p>
    <w:bookmarkEnd w:id="0"/>
    <w:p w:rsidR="00511AB7" w:rsidRPr="00511AB7" w:rsidRDefault="00511AB7" w:rsidP="00511AB7">
      <w:pPr>
        <w:bidi w:val="0"/>
        <w:spacing w:after="260" w:line="360" w:lineRule="atLeast"/>
        <w:jc w:val="right"/>
        <w:textAlignment w:val="baseline"/>
        <w:rPr>
          <w:rFonts w:ascii="Nassim" w:eastAsia="Times New Roman" w:hAnsi="Nassim" w:cs="B Zar"/>
          <w:noProof w:val="0"/>
          <w:color w:val="333333"/>
          <w:sz w:val="26"/>
          <w:szCs w:val="26"/>
        </w:rPr>
      </w:pPr>
      <w:r w:rsidRPr="00511AB7">
        <w:rPr>
          <w:rFonts w:ascii="Nassim" w:eastAsia="Times New Roman" w:hAnsi="Nassim" w:cs="B Zar"/>
          <w:color w:val="333333"/>
          <w:sz w:val="26"/>
          <w:szCs w:val="26"/>
        </w:rPr>
        <w:drawing>
          <wp:inline distT="0" distB="0" distL="0" distR="0">
            <wp:extent cx="1905000" cy="1143000"/>
            <wp:effectExtent l="0" t="0" r="0" b="0"/>
            <wp:docPr id="1" name="Picture 1" descr="علی (ع) معجزه‌ی بزرگ ال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لی (ع) معجزه‌ی بزرگ الهی"/>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p>
    <w:p w:rsidR="00511AB7" w:rsidRPr="00511AB7" w:rsidRDefault="00511AB7" w:rsidP="00511AB7">
      <w:pPr>
        <w:bidi w:val="0"/>
        <w:spacing w:after="0" w:line="360" w:lineRule="atLeast"/>
        <w:jc w:val="right"/>
        <w:textAlignment w:val="baseline"/>
        <w:rPr>
          <w:rFonts w:ascii="Nassim" w:eastAsia="Times New Roman" w:hAnsi="Nassim" w:cs="B Zar"/>
          <w:noProof w:val="0"/>
          <w:color w:val="333333"/>
          <w:sz w:val="26"/>
          <w:szCs w:val="26"/>
        </w:rPr>
      </w:pPr>
      <w:r w:rsidRPr="00511AB7">
        <w:rPr>
          <w:rFonts w:ascii="Nassim" w:eastAsia="Times New Roman" w:hAnsi="Nassim" w:cs="B Zar"/>
          <w:noProof w:val="0"/>
          <w:color w:val="333333"/>
          <w:sz w:val="26"/>
          <w:szCs w:val="26"/>
        </w:rPr>
        <w:t> </w:t>
      </w:r>
    </w:p>
    <w:p w:rsidR="00511AB7" w:rsidRPr="00511AB7" w:rsidRDefault="00511AB7" w:rsidP="00511AB7">
      <w:pPr>
        <w:spacing w:after="0" w:line="360" w:lineRule="atLeast"/>
        <w:textAlignment w:val="baseline"/>
        <w:rPr>
          <w:rFonts w:ascii="Nassim" w:eastAsia="Times New Roman" w:hAnsi="Nassim" w:cs="B Zar"/>
          <w:noProof w:val="0"/>
          <w:color w:val="000000"/>
          <w:sz w:val="26"/>
          <w:szCs w:val="26"/>
          <w:rtl/>
        </w:rPr>
      </w:pPr>
      <w:r w:rsidRPr="00511AB7">
        <w:rPr>
          <w:rFonts w:ascii="Nassim" w:eastAsia="Times New Roman" w:hAnsi="Nassim" w:cs="B Zar"/>
          <w:b/>
          <w:bCs/>
          <w:i/>
          <w:iCs/>
          <w:noProof w:val="0"/>
          <w:color w:val="333333"/>
          <w:sz w:val="26"/>
          <w:szCs w:val="26"/>
          <w:rtl/>
        </w:rPr>
        <w:t>نویسنده: محمد امین صادقی ارزگانی</w:t>
      </w:r>
      <w:r w:rsidRPr="00511AB7">
        <w:rPr>
          <w:rFonts w:ascii="Nassim" w:eastAsia="Times New Roman" w:hAnsi="Nassim" w:cs="B Zar"/>
          <w:b/>
          <w:bCs/>
          <w:i/>
          <w:iCs/>
          <w:noProof w:val="0"/>
          <w:color w:val="333333"/>
          <w:sz w:val="26"/>
          <w:szCs w:val="26"/>
          <w:rtl/>
        </w:rPr>
        <w:br/>
      </w:r>
      <w:r w:rsidRPr="00511AB7">
        <w:rPr>
          <w:rFonts w:ascii="Nassim" w:eastAsia="Times New Roman" w:hAnsi="Nassim" w:cs="B Zar" w:hint="cs"/>
          <w:b/>
          <w:bCs/>
          <w:noProof w:val="0"/>
          <w:color w:val="000000"/>
          <w:sz w:val="26"/>
          <w:szCs w:val="26"/>
          <w:rtl/>
        </w:rPr>
        <w:t>سیری</w:t>
      </w:r>
      <w:r w:rsidRPr="00511AB7">
        <w:rPr>
          <w:rFonts w:ascii="Nassim" w:eastAsia="Times New Roman" w:hAnsi="Nassim" w:cs="B Zar"/>
          <w:b/>
          <w:bCs/>
          <w:noProof w:val="0"/>
          <w:color w:val="000000"/>
          <w:sz w:val="26"/>
          <w:szCs w:val="26"/>
          <w:rtl/>
        </w:rPr>
        <w:t xml:space="preserve"> </w:t>
      </w:r>
      <w:r w:rsidRPr="00511AB7">
        <w:rPr>
          <w:rFonts w:ascii="Nassim" w:eastAsia="Times New Roman" w:hAnsi="Nassim" w:cs="B Zar" w:hint="cs"/>
          <w:b/>
          <w:bCs/>
          <w:noProof w:val="0"/>
          <w:color w:val="000000"/>
          <w:sz w:val="26"/>
          <w:szCs w:val="26"/>
          <w:rtl/>
        </w:rPr>
        <w:t>در</w:t>
      </w:r>
      <w:r w:rsidRPr="00511AB7">
        <w:rPr>
          <w:rFonts w:ascii="Nassim" w:eastAsia="Times New Roman" w:hAnsi="Nassim" w:cs="B Zar"/>
          <w:b/>
          <w:bCs/>
          <w:noProof w:val="0"/>
          <w:color w:val="000000"/>
          <w:sz w:val="26"/>
          <w:szCs w:val="26"/>
          <w:rtl/>
        </w:rPr>
        <w:t xml:space="preserve"> </w:t>
      </w:r>
      <w:r w:rsidRPr="00511AB7">
        <w:rPr>
          <w:rFonts w:ascii="Nassim" w:eastAsia="Times New Roman" w:hAnsi="Nassim" w:cs="B Zar" w:hint="cs"/>
          <w:b/>
          <w:bCs/>
          <w:noProof w:val="0"/>
          <w:color w:val="000000"/>
          <w:sz w:val="26"/>
          <w:szCs w:val="26"/>
          <w:rtl/>
        </w:rPr>
        <w:t>اندیشه</w:t>
      </w:r>
      <w:r w:rsidRPr="00511AB7">
        <w:rPr>
          <w:rFonts w:ascii="Nassim" w:eastAsia="Times New Roman" w:hAnsi="Nassim" w:cs="B Zar"/>
          <w:b/>
          <w:bCs/>
          <w:noProof w:val="0"/>
          <w:color w:val="000000"/>
          <w:sz w:val="26"/>
          <w:szCs w:val="26"/>
          <w:rtl/>
        </w:rPr>
        <w:t xml:space="preserve"> </w:t>
      </w:r>
      <w:r w:rsidRPr="00511AB7">
        <w:rPr>
          <w:rFonts w:ascii="Nassim" w:eastAsia="Times New Roman" w:hAnsi="Nassim" w:cs="B Zar" w:hint="cs"/>
          <w:b/>
          <w:bCs/>
          <w:noProof w:val="0"/>
          <w:color w:val="000000"/>
          <w:sz w:val="26"/>
          <w:szCs w:val="26"/>
          <w:rtl/>
        </w:rPr>
        <w:t>عرفانی</w:t>
      </w:r>
      <w:r w:rsidRPr="00511AB7">
        <w:rPr>
          <w:rFonts w:ascii="Nassim" w:eastAsia="Times New Roman" w:hAnsi="Nassim" w:cs="B Zar"/>
          <w:b/>
          <w:bCs/>
          <w:noProof w:val="0"/>
          <w:color w:val="000000"/>
          <w:sz w:val="26"/>
          <w:szCs w:val="26"/>
          <w:rtl/>
        </w:rPr>
        <w:t xml:space="preserve"> </w:t>
      </w:r>
      <w:r w:rsidRPr="00511AB7">
        <w:rPr>
          <w:rFonts w:ascii="Nassim" w:eastAsia="Times New Roman" w:hAnsi="Nassim" w:cs="B Zar" w:hint="cs"/>
          <w:b/>
          <w:bCs/>
          <w:noProof w:val="0"/>
          <w:color w:val="000000"/>
          <w:sz w:val="26"/>
          <w:szCs w:val="26"/>
          <w:rtl/>
        </w:rPr>
        <w:t>امام</w:t>
      </w:r>
      <w:r w:rsidRPr="00511AB7">
        <w:rPr>
          <w:rFonts w:ascii="Nassim" w:eastAsia="Times New Roman" w:hAnsi="Nassim" w:cs="B Zar"/>
          <w:b/>
          <w:bCs/>
          <w:noProof w:val="0"/>
          <w:color w:val="000000"/>
          <w:sz w:val="26"/>
          <w:szCs w:val="26"/>
          <w:rtl/>
        </w:rPr>
        <w:t xml:space="preserve"> </w:t>
      </w:r>
      <w:r w:rsidRPr="00511AB7">
        <w:rPr>
          <w:rFonts w:ascii="Nassim" w:eastAsia="Times New Roman" w:hAnsi="Nassim" w:cs="B Zar" w:hint="cs"/>
          <w:b/>
          <w:bCs/>
          <w:noProof w:val="0"/>
          <w:color w:val="000000"/>
          <w:sz w:val="26"/>
          <w:szCs w:val="26"/>
          <w:rtl/>
        </w:rPr>
        <w:t>خمینی</w:t>
      </w:r>
      <w:r w:rsidRPr="00511AB7">
        <w:rPr>
          <w:rFonts w:ascii="Nassim" w:eastAsia="Times New Roman" w:hAnsi="Nassim" w:cs="B Zar"/>
          <w:b/>
          <w:bCs/>
          <w:noProof w:val="0"/>
          <w:color w:val="000000"/>
          <w:sz w:val="26"/>
          <w:szCs w:val="26"/>
          <w:rtl/>
        </w:rPr>
        <w:t xml:space="preserve"> (</w:t>
      </w:r>
      <w:r w:rsidRPr="00511AB7">
        <w:rPr>
          <w:rFonts w:ascii="Nassim" w:eastAsia="Times New Roman" w:hAnsi="Nassim" w:cs="B Zar" w:hint="cs"/>
          <w:b/>
          <w:bCs/>
          <w:noProof w:val="0"/>
          <w:color w:val="000000"/>
          <w:sz w:val="26"/>
          <w:szCs w:val="26"/>
          <w:rtl/>
        </w:rPr>
        <w:t>ره</w:t>
      </w:r>
      <w:r w:rsidRPr="00511AB7">
        <w:rPr>
          <w:rFonts w:ascii="Nassim" w:eastAsia="Times New Roman" w:hAnsi="Nassim" w:cs="B Zar"/>
          <w:b/>
          <w:bCs/>
          <w:noProof w:val="0"/>
          <w:color w:val="000000"/>
          <w:sz w:val="26"/>
          <w:szCs w:val="26"/>
          <w:rtl/>
        </w:rPr>
        <w:t>)</w:t>
      </w:r>
      <w:r w:rsidRPr="00511AB7">
        <w:rPr>
          <w:rFonts w:ascii="Nassim" w:eastAsia="Times New Roman" w:hAnsi="Nassim" w:cs="B Zar"/>
          <w:noProof w:val="0"/>
          <w:color w:val="000000"/>
          <w:sz w:val="26"/>
          <w:szCs w:val="26"/>
          <w:rtl/>
        </w:rPr>
        <w:br/>
        <w:t>در آثار عرفانی امام خمینی از وجود مقدس امیرمؤمنان به «معجزه‌ی الهی» یاد شده و بر این نکته تأکید شده است که به دلیل وجود اعجازگونه‌ی آن حضرت، با وجود تمام آنچه درباره او گفته شده، حقیقت آن حضرت همچنان ناشناخته باقی مانده است. حضرت امام در این باره می‌فرماید:</w:t>
      </w:r>
      <w:r w:rsidRPr="00511AB7">
        <w:rPr>
          <w:rFonts w:ascii="Nassim" w:eastAsia="Times New Roman" w:hAnsi="Nassim" w:cs="B Zar"/>
          <w:noProof w:val="0"/>
          <w:color w:val="000000"/>
          <w:sz w:val="26"/>
          <w:szCs w:val="26"/>
          <w:rtl/>
        </w:rPr>
        <w:br/>
        <w:t>"درباره حضرت امیر - سلام الله علیه - این قدر گفته شده است و نوشته شده است و باز هم حقش ادا نشده است؛ یعنی این «معجزه‌ی الهی» تاکنون معلوم نشده است... این موجود یک اعجازی است که نمی‌شود در اطراف او آنچه هست صحبت کرد؛ هر کس به اندازه‌ی فهم خودش و به اندازه‌ی نظری که دارد، در این باب صحبت کرده است و حضرت غیر از این معانی است...، تاکنون آن بُعدی که ایشان دارند، آن بُعد معنوی‌ای که ایشان دارند، برای کسی کشف نشده است، مگر برای اشخاصی که همطراز او هستند. (1)"</w:t>
      </w:r>
      <w:r w:rsidRPr="00511AB7">
        <w:rPr>
          <w:rFonts w:ascii="Nassim" w:eastAsia="Times New Roman" w:hAnsi="Nassim" w:cs="B Zar"/>
          <w:noProof w:val="0"/>
          <w:color w:val="000000"/>
          <w:sz w:val="26"/>
          <w:szCs w:val="26"/>
          <w:rtl/>
        </w:rPr>
        <w:br/>
        <w:t>مسأ‌له ناشناخته ماندن آن حضرت، در شمار حقایقی است که در آموزه‌های دینی و مبانی عرفانی مطرح شده و در عرفان امام خمینی با فروغ بیشتری جلوه کرده است. در زیارت مخصوص امیرمؤمنان در شب مبعث رسول اکرم (صلی الله علیه و آله و سلم) از آن حضرت به «شمشیر نبوت» و «معجزه‌ی رسالت» یاد شده و آمده است:</w:t>
      </w:r>
      <w:r w:rsidRPr="00511AB7">
        <w:rPr>
          <w:rFonts w:ascii="Nassim" w:eastAsia="Times New Roman" w:hAnsi="Nassim" w:cs="B Zar"/>
          <w:noProof w:val="0"/>
          <w:color w:val="000000"/>
          <w:sz w:val="26"/>
          <w:szCs w:val="26"/>
          <w:rtl/>
        </w:rPr>
        <w:br/>
        <w:t>«اللهم صل علی محمد و آل محمد، و صلّ علی عبدک أمیرالمؤمنین و وصیّ رسلک الذی جعلته سیفاً لنبوته و معجزاً لرسالته»؛ (2) خداوندا درود فرست بر محمد و آل او و درود فرست بر بنده‌ات امیرمؤمنان و جانشین رسولت؛ آن رادمردی که قرار دادی او را شمشیری برای نبوت او و معجزه‌ای برای رسالتش.</w:t>
      </w:r>
      <w:r w:rsidRPr="00511AB7">
        <w:rPr>
          <w:rFonts w:ascii="Nassim" w:eastAsia="Times New Roman" w:hAnsi="Nassim" w:cs="B Zar"/>
          <w:noProof w:val="0"/>
          <w:color w:val="000000"/>
          <w:sz w:val="26"/>
          <w:szCs w:val="26"/>
          <w:rtl/>
        </w:rPr>
        <w:br/>
        <w:t>وجود امیرمؤمنان را غیر از انسان کامل، کسی نمی‌تواند بشناسد؛ پیامبر اکرم خطاب به علی (علیه‌السلام) فرمود:</w:t>
      </w:r>
      <w:r w:rsidRPr="00511AB7">
        <w:rPr>
          <w:rFonts w:ascii="Nassim" w:eastAsia="Times New Roman" w:hAnsi="Nassim" w:cs="B Zar"/>
          <w:noProof w:val="0"/>
          <w:color w:val="000000"/>
          <w:sz w:val="26"/>
          <w:szCs w:val="26"/>
          <w:rtl/>
        </w:rPr>
        <w:br/>
        <w:t>«یا علیٌ ما عرفک حق معرفتک غیر الله و غیری»؛ (3)‌ ای علی، آن‌گونه که شایسته‌ی تواست، کسی تو را نشناخته است، مگر خداوند و من.</w:t>
      </w:r>
      <w:r w:rsidRPr="00511AB7">
        <w:rPr>
          <w:rFonts w:ascii="Nassim" w:eastAsia="Times New Roman" w:hAnsi="Nassim" w:cs="B Zar"/>
          <w:noProof w:val="0"/>
          <w:color w:val="000000"/>
          <w:sz w:val="26"/>
          <w:szCs w:val="26"/>
          <w:rtl/>
        </w:rPr>
        <w:br/>
        <w:t>در روایت دیگری رسول خدا خطاب به علی (علیه‌السلام) فرمود:</w:t>
      </w:r>
      <w:r w:rsidRPr="00511AB7">
        <w:rPr>
          <w:rFonts w:ascii="Nassim" w:eastAsia="Times New Roman" w:hAnsi="Nassim" w:cs="B Zar"/>
          <w:noProof w:val="0"/>
          <w:color w:val="000000"/>
          <w:sz w:val="26"/>
          <w:szCs w:val="26"/>
          <w:rtl/>
        </w:rPr>
        <w:br/>
        <w:t>«ما عرفک یا علی حق معرفتک إلا الله و أنا»؛ (4)‌ای علی، آن‌گونه که سزاوار است تو را غیر از خدا و غیر از من کسی نشناخته است.</w:t>
      </w:r>
      <w:r w:rsidRPr="00511AB7">
        <w:rPr>
          <w:rFonts w:ascii="Nassim" w:eastAsia="Times New Roman" w:hAnsi="Nassim" w:cs="B Zar"/>
          <w:noProof w:val="0"/>
          <w:color w:val="000000"/>
          <w:sz w:val="26"/>
          <w:szCs w:val="26"/>
          <w:rtl/>
        </w:rPr>
        <w:br/>
        <w:t xml:space="preserve">این عدم شناخت به دلیل گستره‌ی وجودی آن حضرت است که اولاً دستیابی به آن آسان نیست؛ ثانیاً اگر هم کسی غیر از انسان کامل بتواند همه ابعاد وجودی امیرمؤمنان را بشناسد، بازگو کردن آن، غلوّ و زیاده‌گویی تلقی خواهد شد؛ در حالی که توصیف حضرت امیر توسط معصوم، گذشته از آن که از روی شناخت کامل است، جای هیچ‌گونه شائبه‌ای را </w:t>
      </w:r>
      <w:r w:rsidRPr="00511AB7">
        <w:rPr>
          <w:rFonts w:ascii="Nassim" w:eastAsia="Times New Roman" w:hAnsi="Nassim" w:cs="B Zar"/>
          <w:noProof w:val="0"/>
          <w:color w:val="000000"/>
          <w:sz w:val="26"/>
          <w:szCs w:val="26"/>
          <w:rtl/>
        </w:rPr>
        <w:lastRenderedPageBreak/>
        <w:t>هم باقی نمی‌گذارد. همین امر سخن گفتن درباره علی (علیه‌السلام) را دشوار کرده است؛ جاحظ می‌گوید: من از نظام شنیدم که می‌گفت:</w:t>
      </w:r>
      <w:r w:rsidRPr="00511AB7">
        <w:rPr>
          <w:rFonts w:ascii="Nassim" w:eastAsia="Times New Roman" w:hAnsi="Nassim" w:cs="B Zar"/>
          <w:noProof w:val="0"/>
          <w:color w:val="000000"/>
          <w:sz w:val="26"/>
          <w:szCs w:val="26"/>
          <w:rtl/>
        </w:rPr>
        <w:br/>
        <w:t>"سخن گفتن درباره‌ی علی بن ابی‌طالب دشوار و محنت‌زا است؛ زیرا اگر گوینده حق او را وفا و ادا کند، غلوّ کرده است، و اگر از حق او بکاهد، جفا کرده است؛ هسته‌ی مرکزی متوسط بین وفا و جفا، دقیق و تیز است و دسترسی به آن جز برای حاذق ذکیّ سخت خواهد بود. (5)"</w:t>
      </w:r>
      <w:r w:rsidRPr="00511AB7">
        <w:rPr>
          <w:rFonts w:ascii="Nassim" w:eastAsia="Times New Roman" w:hAnsi="Nassim" w:cs="B Zar"/>
          <w:noProof w:val="0"/>
          <w:color w:val="000000"/>
          <w:sz w:val="26"/>
          <w:szCs w:val="26"/>
          <w:rtl/>
        </w:rPr>
        <w:br/>
        <w:t>در آموزه‌های عرفانی درباره وجود اعجازگونه‌ی امیرمؤمنان مطالب فراوانی آمده است که به نقل کلام نغزی از عطار نیشابوری اکتفا می‌شود:</w:t>
      </w:r>
    </w:p>
    <w:p w:rsidR="00511AB7" w:rsidRPr="00511AB7" w:rsidRDefault="00511AB7" w:rsidP="00511AB7">
      <w:pPr>
        <w:spacing w:after="0" w:line="360" w:lineRule="atLeast"/>
        <w:textAlignment w:val="baseline"/>
        <w:rPr>
          <w:rFonts w:ascii="Nassim" w:eastAsia="Times New Roman" w:hAnsi="Nassim" w:cs="B Zar"/>
          <w:noProof w:val="0"/>
          <w:color w:val="000000"/>
          <w:sz w:val="26"/>
          <w:szCs w:val="26"/>
          <w:rtl/>
        </w:rPr>
      </w:pPr>
      <w:r w:rsidRPr="00511AB7">
        <w:rPr>
          <w:rFonts w:ascii="Cambria" w:eastAsia="Times New Roman" w:hAnsi="Cambria" w:cs="Cambria" w:hint="cs"/>
          <w:noProof w:val="0"/>
          <w:color w:val="000000"/>
          <w:sz w:val="26"/>
          <w:szCs w:val="26"/>
          <w:rtl/>
        </w:rPr>
        <w:t> </w:t>
      </w:r>
    </w:p>
    <w:p w:rsidR="00511AB7" w:rsidRPr="00511AB7" w:rsidRDefault="00511AB7" w:rsidP="00511AB7">
      <w:pPr>
        <w:spacing w:after="0" w:line="360" w:lineRule="atLeast"/>
        <w:textAlignment w:val="baseline"/>
        <w:rPr>
          <w:rFonts w:ascii="Nassim" w:eastAsia="Times New Roman" w:hAnsi="Nassim" w:cs="B Zar"/>
          <w:noProof w:val="0"/>
          <w:color w:val="000000"/>
          <w:sz w:val="26"/>
          <w:szCs w:val="26"/>
          <w:rtl/>
        </w:rPr>
      </w:pPr>
      <w:r w:rsidRPr="00511AB7">
        <w:rPr>
          <w:rFonts w:ascii="Nassim" w:eastAsia="Times New Roman" w:hAnsi="Nassim" w:cs="B Zar"/>
          <w:noProof w:val="0"/>
          <w:color w:val="000000"/>
          <w:sz w:val="26"/>
          <w:szCs w:val="26"/>
          <w:rtl/>
        </w:rPr>
        <w:t>تویی عصمت تویی رحمت تویی نعمت *** تویی اندر حقیقت دین و ملت</w:t>
      </w:r>
      <w:r w:rsidRPr="00511AB7">
        <w:rPr>
          <w:rFonts w:ascii="Nassim" w:eastAsia="Times New Roman" w:hAnsi="Nassim" w:cs="B Zar"/>
          <w:noProof w:val="0"/>
          <w:color w:val="000000"/>
          <w:sz w:val="26"/>
          <w:szCs w:val="26"/>
          <w:rtl/>
        </w:rPr>
        <w:br/>
        <w:t>تویی اول تو هم آخر تویی سرور *** تویی ظاهر تویی باطن تویی مظهر</w:t>
      </w:r>
      <w:r w:rsidRPr="00511AB7">
        <w:rPr>
          <w:rFonts w:ascii="Nassim" w:eastAsia="Times New Roman" w:hAnsi="Nassim" w:cs="B Zar"/>
          <w:noProof w:val="0"/>
          <w:color w:val="000000"/>
          <w:sz w:val="26"/>
          <w:szCs w:val="26"/>
          <w:rtl/>
        </w:rPr>
        <w:br/>
        <w:t>تویی آدم تویی شیث و تویی نوح *** تو ابراهیم و تو موسی و تو روح</w:t>
      </w:r>
      <w:r w:rsidRPr="00511AB7">
        <w:rPr>
          <w:rFonts w:ascii="Nassim" w:eastAsia="Times New Roman" w:hAnsi="Nassim" w:cs="B Zar"/>
          <w:noProof w:val="0"/>
          <w:color w:val="000000"/>
          <w:sz w:val="26"/>
          <w:szCs w:val="26"/>
          <w:rtl/>
        </w:rPr>
        <w:br/>
        <w:t>تو را می‌خواند آدم هم به آغاز *** رسید او را بهشت و نعمت و ناز</w:t>
      </w:r>
      <w:r w:rsidRPr="00511AB7">
        <w:rPr>
          <w:rFonts w:ascii="Nassim" w:eastAsia="Times New Roman" w:hAnsi="Nassim" w:cs="B Zar"/>
          <w:noProof w:val="0"/>
          <w:color w:val="000000"/>
          <w:sz w:val="26"/>
          <w:szCs w:val="26"/>
          <w:rtl/>
        </w:rPr>
        <w:br/>
        <w:t>خلیل الله تو را چون خواند از جان *** شد آتش بر وجود او گلستان</w:t>
      </w:r>
      <w:r w:rsidRPr="00511AB7">
        <w:rPr>
          <w:rFonts w:ascii="Nassim" w:eastAsia="Times New Roman" w:hAnsi="Nassim" w:cs="B Zar"/>
          <w:noProof w:val="0"/>
          <w:color w:val="000000"/>
          <w:sz w:val="26"/>
          <w:szCs w:val="26"/>
          <w:rtl/>
        </w:rPr>
        <w:br/>
        <w:t>تو را می‌خواند هم موسی عمران *** مظفر گشت بر فرعون و هامان</w:t>
      </w:r>
      <w:r w:rsidRPr="00511AB7">
        <w:rPr>
          <w:rFonts w:ascii="Nassim" w:eastAsia="Times New Roman" w:hAnsi="Nassim" w:cs="B Zar"/>
          <w:noProof w:val="0"/>
          <w:color w:val="000000"/>
          <w:sz w:val="26"/>
          <w:szCs w:val="26"/>
          <w:rtl/>
        </w:rPr>
        <w:br/>
        <w:t>تو را عیسی مریم بود بنده *** به نامت مرده را می‌کرد زنده</w:t>
      </w:r>
      <w:r w:rsidRPr="00511AB7">
        <w:rPr>
          <w:rFonts w:ascii="Nassim" w:eastAsia="Times New Roman" w:hAnsi="Nassim" w:cs="B Zar"/>
          <w:noProof w:val="0"/>
          <w:color w:val="000000"/>
          <w:sz w:val="26"/>
          <w:szCs w:val="26"/>
          <w:rtl/>
        </w:rPr>
        <w:br/>
        <w:t>محمد هم به نامت شد مظفر *** به عالم بر تمامی اهل کافر</w:t>
      </w:r>
      <w:r w:rsidRPr="00511AB7">
        <w:rPr>
          <w:rFonts w:ascii="Nassim" w:eastAsia="Times New Roman" w:hAnsi="Nassim" w:cs="B Zar"/>
          <w:noProof w:val="0"/>
          <w:color w:val="000000"/>
          <w:sz w:val="26"/>
          <w:szCs w:val="26"/>
          <w:rtl/>
        </w:rPr>
        <w:br/>
        <w:t>سلیمان یافت از تو حشمت و جاه *** به فرمانش زماهی بود تا ماه</w:t>
      </w:r>
      <w:r w:rsidRPr="00511AB7">
        <w:rPr>
          <w:rFonts w:ascii="Nassim" w:eastAsia="Times New Roman" w:hAnsi="Nassim" w:cs="B Zar"/>
          <w:noProof w:val="0"/>
          <w:color w:val="000000"/>
          <w:sz w:val="26"/>
          <w:szCs w:val="26"/>
          <w:rtl/>
        </w:rPr>
        <w:br/>
        <w:t>تویی در دل تو اندر دیده بینش *** زنور تو مدار آفرینش</w:t>
      </w:r>
      <w:r w:rsidRPr="00511AB7">
        <w:rPr>
          <w:rFonts w:ascii="Nassim" w:eastAsia="Times New Roman" w:hAnsi="Nassim" w:cs="B Zar"/>
          <w:noProof w:val="0"/>
          <w:color w:val="000000"/>
          <w:sz w:val="26"/>
          <w:szCs w:val="26"/>
          <w:rtl/>
        </w:rPr>
        <w:br/>
        <w:t>گهی با یوسف مصری به چاهی *** گهی در مصر عزت پادشاهی</w:t>
      </w:r>
      <w:r w:rsidRPr="00511AB7">
        <w:rPr>
          <w:rFonts w:ascii="Nassim" w:eastAsia="Times New Roman" w:hAnsi="Nassim" w:cs="B Zar"/>
          <w:noProof w:val="0"/>
          <w:color w:val="000000"/>
          <w:sz w:val="26"/>
          <w:szCs w:val="26"/>
          <w:rtl/>
        </w:rPr>
        <w:br/>
        <w:t>گهی طفلی و گاهی چون جوانی *** گهی پنهان شوی گاهی عیانی</w:t>
      </w:r>
      <w:r w:rsidRPr="00511AB7">
        <w:rPr>
          <w:rFonts w:ascii="Nassim" w:eastAsia="Times New Roman" w:hAnsi="Nassim" w:cs="B Zar"/>
          <w:noProof w:val="0"/>
          <w:color w:val="000000"/>
          <w:sz w:val="26"/>
          <w:szCs w:val="26"/>
          <w:rtl/>
        </w:rPr>
        <w:br/>
        <w:t>به ظاهر گه به روم و گه به چینی *** به باطن در همه روی زمینی (6)</w:t>
      </w:r>
    </w:p>
    <w:p w:rsidR="00511AB7" w:rsidRPr="00511AB7" w:rsidRDefault="00511AB7" w:rsidP="00511AB7">
      <w:pPr>
        <w:spacing w:before="150" w:after="75" w:line="360" w:lineRule="atLeast"/>
        <w:jc w:val="both"/>
        <w:textAlignment w:val="baseline"/>
        <w:rPr>
          <w:rFonts w:ascii="Nassim" w:eastAsia="Times New Roman" w:hAnsi="Nassim" w:cs="B Zar"/>
          <w:b/>
          <w:bCs/>
          <w:i/>
          <w:iCs/>
          <w:noProof w:val="0"/>
          <w:color w:val="333333"/>
          <w:sz w:val="26"/>
          <w:szCs w:val="26"/>
          <w:rtl/>
        </w:rPr>
      </w:pPr>
      <w:r w:rsidRPr="00511AB7">
        <w:rPr>
          <w:rFonts w:ascii="Nassim" w:eastAsia="Times New Roman" w:hAnsi="Nassim" w:cs="B Zar"/>
          <w:b/>
          <w:bCs/>
          <w:i/>
          <w:iCs/>
          <w:noProof w:val="0"/>
          <w:color w:val="333333"/>
          <w:sz w:val="26"/>
          <w:szCs w:val="26"/>
          <w:rtl/>
        </w:rPr>
        <w:t>پی‌نوشت‌ها:</w:t>
      </w:r>
    </w:p>
    <w:p w:rsidR="00511AB7" w:rsidRPr="00511AB7" w:rsidRDefault="00511AB7" w:rsidP="00511AB7">
      <w:pPr>
        <w:spacing w:after="0" w:line="360" w:lineRule="atLeast"/>
        <w:textAlignment w:val="baseline"/>
        <w:rPr>
          <w:rFonts w:ascii="Nassim" w:eastAsia="Times New Roman" w:hAnsi="Nassim" w:cs="B Zar"/>
          <w:noProof w:val="0"/>
          <w:color w:val="000000"/>
          <w:sz w:val="26"/>
          <w:szCs w:val="26"/>
          <w:rtl/>
        </w:rPr>
      </w:pPr>
      <w:r w:rsidRPr="00511AB7">
        <w:rPr>
          <w:rFonts w:ascii="Nassim" w:eastAsia="Times New Roman" w:hAnsi="Nassim" w:cs="B Zar"/>
          <w:noProof w:val="0"/>
          <w:color w:val="000000"/>
          <w:sz w:val="26"/>
          <w:szCs w:val="26"/>
          <w:rtl/>
        </w:rPr>
        <w:t>1. صحیفه امام، ج 20، ص 222-223.</w:t>
      </w:r>
      <w:r w:rsidRPr="00511AB7">
        <w:rPr>
          <w:rFonts w:ascii="Nassim" w:eastAsia="Times New Roman" w:hAnsi="Nassim" w:cs="B Zar"/>
          <w:noProof w:val="0"/>
          <w:color w:val="000000"/>
          <w:sz w:val="26"/>
          <w:szCs w:val="26"/>
          <w:rtl/>
        </w:rPr>
        <w:br/>
        <w:t>2. مصباح الزائر، ص 179.</w:t>
      </w:r>
      <w:r w:rsidRPr="00511AB7">
        <w:rPr>
          <w:rFonts w:ascii="Nassim" w:eastAsia="Times New Roman" w:hAnsi="Nassim" w:cs="B Zar"/>
          <w:noProof w:val="0"/>
          <w:color w:val="000000"/>
          <w:sz w:val="26"/>
          <w:szCs w:val="26"/>
          <w:rtl/>
        </w:rPr>
        <w:br/>
        <w:t>3. مناقب آل ابی‌طالب، ج 3، ص 267.</w:t>
      </w:r>
      <w:r w:rsidRPr="00511AB7">
        <w:rPr>
          <w:rFonts w:ascii="Nassim" w:eastAsia="Times New Roman" w:hAnsi="Nassim" w:cs="B Zar"/>
          <w:noProof w:val="0"/>
          <w:color w:val="000000"/>
          <w:sz w:val="26"/>
          <w:szCs w:val="26"/>
          <w:rtl/>
        </w:rPr>
        <w:br/>
        <w:t>4. ارشاد القلوب، ج 2، ص 10.</w:t>
      </w:r>
      <w:r w:rsidRPr="00511AB7">
        <w:rPr>
          <w:rFonts w:ascii="Nassim" w:eastAsia="Times New Roman" w:hAnsi="Nassim" w:cs="B Zar"/>
          <w:noProof w:val="0"/>
          <w:color w:val="000000"/>
          <w:sz w:val="26"/>
          <w:szCs w:val="26"/>
          <w:rtl/>
        </w:rPr>
        <w:br/>
        <w:t>5. ر.ک: الامالی (طوسی)، ص 588؛ مناقب آل ابی‌طالب، ج 3، ص 214.</w:t>
      </w:r>
      <w:r w:rsidRPr="00511AB7">
        <w:rPr>
          <w:rFonts w:ascii="Nassim" w:eastAsia="Times New Roman" w:hAnsi="Nassim" w:cs="B Zar"/>
          <w:noProof w:val="0"/>
          <w:color w:val="000000"/>
          <w:sz w:val="26"/>
          <w:szCs w:val="26"/>
          <w:rtl/>
        </w:rPr>
        <w:br/>
        <w:t>6. پندنامه و بی‌سرنامه، ص 138.</w:t>
      </w:r>
    </w:p>
    <w:p w:rsidR="00511AB7" w:rsidRPr="00511AB7" w:rsidRDefault="00511AB7" w:rsidP="00511AB7">
      <w:pPr>
        <w:spacing w:after="0" w:line="360" w:lineRule="atLeast"/>
        <w:textAlignment w:val="baseline"/>
        <w:rPr>
          <w:rFonts w:ascii="Nassim" w:eastAsia="Times New Roman" w:hAnsi="Nassim" w:cs="B Zar"/>
          <w:noProof w:val="0"/>
          <w:color w:val="000000"/>
          <w:sz w:val="26"/>
          <w:szCs w:val="26"/>
          <w:rtl/>
        </w:rPr>
      </w:pPr>
      <w:r w:rsidRPr="00511AB7">
        <w:rPr>
          <w:rFonts w:ascii="Nassim" w:eastAsia="Times New Roman" w:hAnsi="Nassim" w:cs="B Zar"/>
          <w:b/>
          <w:bCs/>
          <w:i/>
          <w:iCs/>
          <w:noProof w:val="0"/>
          <w:color w:val="000000"/>
          <w:sz w:val="26"/>
          <w:szCs w:val="26"/>
          <w:bdr w:val="none" w:sz="0" w:space="0" w:color="auto" w:frame="1"/>
          <w:rtl/>
        </w:rPr>
        <w:t>منبع مقاله:</w:t>
      </w:r>
      <w:r w:rsidRPr="00511AB7">
        <w:rPr>
          <w:rFonts w:ascii="Nassim" w:eastAsia="Times New Roman" w:hAnsi="Nassim" w:cs="B Zar"/>
          <w:noProof w:val="0"/>
          <w:color w:val="000000"/>
          <w:sz w:val="26"/>
          <w:szCs w:val="26"/>
          <w:rtl/>
        </w:rPr>
        <w:br/>
      </w:r>
      <w:r w:rsidRPr="00511AB7">
        <w:rPr>
          <w:rFonts w:ascii="Nassim" w:eastAsia="Times New Roman" w:hAnsi="Nassim" w:cs="B Zar"/>
          <w:noProof w:val="0"/>
          <w:color w:val="000000"/>
          <w:sz w:val="26"/>
          <w:szCs w:val="26"/>
          <w:bdr w:val="none" w:sz="0" w:space="0" w:color="auto" w:frame="1"/>
          <w:rtl/>
        </w:rPr>
        <w:t>صادقی ارزگانی، محمد امین، (1387) سیمای اهل بیت (ع) در عرفان امام خمینی (ره)، تهران: مؤسسه تنظیم و نشر آثار امام خمینی (ره)، چاپ اول.</w:t>
      </w:r>
    </w:p>
    <w:p w:rsidR="002A16C5" w:rsidRPr="00511AB7" w:rsidRDefault="002A16C5" w:rsidP="00511AB7">
      <w:pPr>
        <w:rPr>
          <w:rFonts w:cs="B Zar" w:hint="cs"/>
        </w:rPr>
      </w:pPr>
    </w:p>
    <w:sectPr w:rsidR="002A16C5" w:rsidRPr="00511AB7"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Nassi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B7"/>
    <w:rsid w:val="00123979"/>
    <w:rsid w:val="002A16C5"/>
    <w:rsid w:val="00511AB7"/>
    <w:rsid w:val="0069467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27951-74C0-41BE-96A3-BFDB6CC2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link w:val="Heading1Char"/>
    <w:uiPriority w:val="9"/>
    <w:qFormat/>
    <w:rsid w:val="00511AB7"/>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AB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11AB7"/>
    <w:pPr>
      <w:bidi w:val="0"/>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peytitr">
    <w:name w:val="pey_titr"/>
    <w:basedOn w:val="Normal"/>
    <w:rsid w:val="00511AB7"/>
    <w:pPr>
      <w:bidi w:val="0"/>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peybody">
    <w:name w:val="pey_body"/>
    <w:basedOn w:val="Normal"/>
    <w:rsid w:val="00511AB7"/>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pzam1">
    <w:name w:val="p_zam1"/>
    <w:basedOn w:val="DefaultParagraphFont"/>
    <w:rsid w:val="00511AB7"/>
  </w:style>
  <w:style w:type="character" w:customStyle="1" w:styleId="pzam">
    <w:name w:val="p_zam"/>
    <w:basedOn w:val="DefaultParagraphFont"/>
    <w:rsid w:val="0051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709217">
      <w:bodyDiv w:val="1"/>
      <w:marLeft w:val="0"/>
      <w:marRight w:val="0"/>
      <w:marTop w:val="0"/>
      <w:marBottom w:val="0"/>
      <w:divBdr>
        <w:top w:val="none" w:sz="0" w:space="0" w:color="auto"/>
        <w:left w:val="none" w:sz="0" w:space="0" w:color="auto"/>
        <w:bottom w:val="none" w:sz="0" w:space="0" w:color="auto"/>
        <w:right w:val="none" w:sz="0" w:space="0" w:color="auto"/>
      </w:divBdr>
      <w:divsChild>
        <w:div w:id="1322807865">
          <w:marLeft w:val="0"/>
          <w:marRight w:val="0"/>
          <w:marTop w:val="0"/>
          <w:marBottom w:val="0"/>
          <w:divBdr>
            <w:top w:val="none" w:sz="0" w:space="0" w:color="auto"/>
            <w:left w:val="none" w:sz="0" w:space="0" w:color="auto"/>
            <w:bottom w:val="none" w:sz="0" w:space="0" w:color="auto"/>
            <w:right w:val="none" w:sz="0" w:space="0" w:color="auto"/>
          </w:divBdr>
          <w:divsChild>
            <w:div w:id="20436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819</Words>
  <Characters>2919</Characters>
  <Application>Microsoft Office Word</Application>
  <DocSecurity>0</DocSecurity>
  <Lines>47</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علی (ع) معجزه‌ی بزرگ الهی</vt:lpstr>
    </vt:vector>
  </TitlesOfParts>
  <Company>Moorche 30 DVDs</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2016-09-06T08:43:00Z</dcterms:created>
  <dcterms:modified xsi:type="dcterms:W3CDTF">2016-09-06T09:45:00Z</dcterms:modified>
</cp:coreProperties>
</file>