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5F2" w:rsidRPr="007425F2" w:rsidRDefault="007425F2" w:rsidP="007425F2">
      <w:pPr>
        <w:bidi w:val="0"/>
        <w:spacing w:after="0" w:line="405" w:lineRule="atLeast"/>
        <w:jc w:val="right"/>
        <w:textAlignment w:val="baseline"/>
        <w:outlineLvl w:val="0"/>
        <w:rPr>
          <w:rFonts w:ascii="Nassim" w:eastAsia="Times New Roman" w:hAnsi="Nassim" w:cs="B Zar"/>
          <w:b/>
          <w:bCs/>
          <w:noProof w:val="0"/>
          <w:color w:val="3B3B3B"/>
          <w:kern w:val="36"/>
          <w:sz w:val="28"/>
          <w:szCs w:val="28"/>
        </w:rPr>
      </w:pPr>
      <w:bookmarkStart w:id="0" w:name="_GoBack"/>
      <w:r w:rsidRPr="007425F2">
        <w:rPr>
          <w:rFonts w:ascii="Nassim" w:eastAsia="Times New Roman" w:hAnsi="Nassim" w:cs="B Zar"/>
          <w:b/>
          <w:bCs/>
          <w:noProof w:val="0"/>
          <w:color w:val="3B3B3B"/>
          <w:kern w:val="36"/>
          <w:sz w:val="28"/>
          <w:szCs w:val="28"/>
          <w:rtl/>
        </w:rPr>
        <w:t>همسانی ابعاد وجودی علی (ع) با عدد اسماء الهی</w:t>
      </w:r>
    </w:p>
    <w:bookmarkEnd w:id="0"/>
    <w:p w:rsidR="007425F2" w:rsidRPr="007425F2" w:rsidRDefault="007425F2" w:rsidP="007425F2">
      <w:pPr>
        <w:bidi w:val="0"/>
        <w:spacing w:after="260" w:line="360" w:lineRule="atLeast"/>
        <w:jc w:val="right"/>
        <w:textAlignment w:val="baseline"/>
        <w:rPr>
          <w:rFonts w:ascii="Nassim" w:eastAsia="Times New Roman" w:hAnsi="Nassim" w:cs="B Zar"/>
          <w:noProof w:val="0"/>
          <w:color w:val="333333"/>
          <w:sz w:val="28"/>
          <w:szCs w:val="28"/>
        </w:rPr>
      </w:pPr>
      <w:r w:rsidRPr="007425F2">
        <w:rPr>
          <w:rFonts w:ascii="Nassim" w:eastAsia="Times New Roman" w:hAnsi="Nassim" w:cs="B Zar"/>
          <w:color w:val="333333"/>
          <w:sz w:val="28"/>
          <w:szCs w:val="28"/>
        </w:rPr>
        <w:drawing>
          <wp:inline distT="0" distB="0" distL="0" distR="0" wp14:anchorId="44C7D6FA" wp14:editId="53672136">
            <wp:extent cx="1905000" cy="1143000"/>
            <wp:effectExtent l="0" t="0" r="0" b="0"/>
            <wp:docPr id="1" name="Picture 1" descr="همسانی ابعاد وجودی علی (ع) با عدد اسماء اله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همسانی ابعاد وجودی علی (ع) با عدد اسماء الهی"/>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0" cy="1143000"/>
                    </a:xfrm>
                    <a:prstGeom prst="rect">
                      <a:avLst/>
                    </a:prstGeom>
                    <a:noFill/>
                    <a:ln>
                      <a:noFill/>
                    </a:ln>
                  </pic:spPr>
                </pic:pic>
              </a:graphicData>
            </a:graphic>
          </wp:inline>
        </w:drawing>
      </w:r>
    </w:p>
    <w:p w:rsidR="007425F2" w:rsidRPr="007425F2" w:rsidRDefault="007425F2" w:rsidP="007425F2">
      <w:pPr>
        <w:bidi w:val="0"/>
        <w:spacing w:after="0" w:line="360" w:lineRule="atLeast"/>
        <w:jc w:val="right"/>
        <w:textAlignment w:val="baseline"/>
        <w:rPr>
          <w:rFonts w:ascii="Nassim" w:eastAsia="Times New Roman" w:hAnsi="Nassim" w:cs="B Zar"/>
          <w:noProof w:val="0"/>
          <w:color w:val="333333"/>
          <w:sz w:val="28"/>
          <w:szCs w:val="28"/>
        </w:rPr>
      </w:pPr>
      <w:r w:rsidRPr="007425F2">
        <w:rPr>
          <w:rFonts w:ascii="Nassim" w:eastAsia="Times New Roman" w:hAnsi="Nassim" w:cs="B Zar"/>
          <w:noProof w:val="0"/>
          <w:color w:val="333333"/>
          <w:sz w:val="28"/>
          <w:szCs w:val="28"/>
        </w:rPr>
        <w:t> </w:t>
      </w:r>
    </w:p>
    <w:p w:rsidR="007425F2" w:rsidRDefault="007425F2" w:rsidP="007425F2">
      <w:pPr>
        <w:spacing w:after="0" w:line="360" w:lineRule="atLeast"/>
        <w:textAlignment w:val="baseline"/>
        <w:rPr>
          <w:rFonts w:ascii="Nassim" w:eastAsia="Times New Roman" w:hAnsi="Nassim" w:cs="B Zar"/>
          <w:noProof w:val="0"/>
          <w:color w:val="000000"/>
          <w:sz w:val="28"/>
          <w:szCs w:val="28"/>
          <w:rtl/>
        </w:rPr>
      </w:pPr>
      <w:r w:rsidRPr="007425F2">
        <w:rPr>
          <w:rFonts w:ascii="Nassim" w:eastAsia="Times New Roman" w:hAnsi="Nassim" w:cs="B Zar"/>
          <w:b/>
          <w:bCs/>
          <w:i/>
          <w:iCs/>
          <w:noProof w:val="0"/>
          <w:color w:val="333333"/>
          <w:sz w:val="28"/>
          <w:szCs w:val="28"/>
          <w:rtl/>
        </w:rPr>
        <w:t>نویسنده: محمد امین صادقی ارزگانی</w:t>
      </w:r>
      <w:r w:rsidRPr="007425F2">
        <w:rPr>
          <w:rFonts w:ascii="Nassim" w:eastAsia="Times New Roman" w:hAnsi="Nassim" w:cs="B Zar"/>
          <w:b/>
          <w:bCs/>
          <w:i/>
          <w:iCs/>
          <w:noProof w:val="0"/>
          <w:color w:val="333333"/>
          <w:sz w:val="28"/>
          <w:szCs w:val="28"/>
          <w:rtl/>
        </w:rPr>
        <w:br/>
      </w:r>
      <w:r w:rsidRPr="007425F2">
        <w:rPr>
          <w:rFonts w:ascii="Nassim" w:eastAsia="Times New Roman" w:hAnsi="Nassim" w:cs="B Zar"/>
          <w:b/>
          <w:bCs/>
          <w:noProof w:val="0"/>
          <w:color w:val="000000"/>
          <w:sz w:val="28"/>
          <w:szCs w:val="28"/>
          <w:rtl/>
        </w:rPr>
        <w:t>سیری در اندیشه عرفانی امام خمینی (ره)</w:t>
      </w:r>
    </w:p>
    <w:p w:rsidR="007425F2" w:rsidRPr="007425F2" w:rsidRDefault="007425F2" w:rsidP="007425F2">
      <w:pPr>
        <w:spacing w:after="0" w:line="360" w:lineRule="atLeast"/>
        <w:textAlignment w:val="baseline"/>
        <w:rPr>
          <w:rFonts w:ascii="Nassim" w:eastAsia="Times New Roman" w:hAnsi="Nassim" w:cs="B Zar"/>
          <w:noProof w:val="0"/>
          <w:color w:val="000000"/>
          <w:sz w:val="28"/>
          <w:szCs w:val="28"/>
          <w:rtl/>
        </w:rPr>
      </w:pPr>
      <w:r w:rsidRPr="007425F2">
        <w:rPr>
          <w:rFonts w:ascii="Nassim" w:eastAsia="Times New Roman" w:hAnsi="Nassim" w:cs="B Zar"/>
          <w:noProof w:val="0"/>
          <w:color w:val="000000"/>
          <w:sz w:val="28"/>
          <w:szCs w:val="28"/>
          <w:rtl/>
        </w:rPr>
        <w:br/>
        <w:t>گرچه ساحات و گستره‌ی وجودی امیرمؤمنان بسیار وسیع است و به همین دلیل شناخت همه جانبه‌ی او کار آسانی نیست؛ به ویژه آن که بحر قلزم وجود علوی در ظرف این‌گونه تحقیقات نمی‌گنجد و اساساً کسوت الفاظ و واژه‌ها بر قامت بلند معانی صفات و کمالات آن حضرت کوتاه است؛ اما گفته‌اند:</w:t>
      </w:r>
    </w:p>
    <w:p w:rsidR="007425F2" w:rsidRPr="007425F2" w:rsidRDefault="007425F2" w:rsidP="007425F2">
      <w:pPr>
        <w:spacing w:after="0" w:line="360" w:lineRule="atLeast"/>
        <w:textAlignment w:val="baseline"/>
        <w:rPr>
          <w:rFonts w:ascii="Nassim" w:eastAsia="Times New Roman" w:hAnsi="Nassim" w:cs="B Zar"/>
          <w:noProof w:val="0"/>
          <w:color w:val="000000"/>
          <w:sz w:val="28"/>
          <w:szCs w:val="28"/>
          <w:rtl/>
        </w:rPr>
      </w:pPr>
      <w:r w:rsidRPr="007425F2">
        <w:rPr>
          <w:rFonts w:ascii="Cambria" w:eastAsia="Times New Roman" w:hAnsi="Cambria" w:cs="Cambria" w:hint="cs"/>
          <w:noProof w:val="0"/>
          <w:color w:val="000000"/>
          <w:sz w:val="28"/>
          <w:szCs w:val="28"/>
          <w:rtl/>
        </w:rPr>
        <w:t> </w:t>
      </w:r>
    </w:p>
    <w:p w:rsidR="007425F2" w:rsidRPr="007425F2" w:rsidRDefault="007425F2" w:rsidP="007425F2">
      <w:pPr>
        <w:spacing w:after="0" w:line="360" w:lineRule="atLeast"/>
        <w:textAlignment w:val="baseline"/>
        <w:rPr>
          <w:rFonts w:ascii="Nassim" w:eastAsia="Times New Roman" w:hAnsi="Nassim" w:cs="B Zar"/>
          <w:noProof w:val="0"/>
          <w:color w:val="000000"/>
          <w:sz w:val="28"/>
          <w:szCs w:val="28"/>
          <w:rtl/>
        </w:rPr>
      </w:pPr>
      <w:r w:rsidRPr="007425F2">
        <w:rPr>
          <w:rFonts w:ascii="Nassim" w:eastAsia="Times New Roman" w:hAnsi="Nassim" w:cs="B Zar"/>
          <w:noProof w:val="0"/>
          <w:color w:val="000000"/>
          <w:sz w:val="28"/>
          <w:szCs w:val="28"/>
          <w:rtl/>
        </w:rPr>
        <w:t>گرچه عاجز آمد این عقل از بیان *** عاجزانه جنبشی باید در آن</w:t>
      </w:r>
      <w:r w:rsidRPr="007425F2">
        <w:rPr>
          <w:rFonts w:ascii="Nassim" w:eastAsia="Times New Roman" w:hAnsi="Nassim" w:cs="B Zar"/>
          <w:noProof w:val="0"/>
          <w:color w:val="000000"/>
          <w:sz w:val="28"/>
          <w:szCs w:val="28"/>
          <w:rtl/>
        </w:rPr>
        <w:br/>
        <w:t>إنّ شیئاً کله لایُدرک *** اعلموا أن کله لایُترکُ</w:t>
      </w:r>
      <w:r w:rsidRPr="007425F2">
        <w:rPr>
          <w:rFonts w:ascii="Nassim" w:eastAsia="Times New Roman" w:hAnsi="Nassim" w:cs="B Zar"/>
          <w:noProof w:val="0"/>
          <w:color w:val="000000"/>
          <w:sz w:val="28"/>
          <w:szCs w:val="28"/>
          <w:rtl/>
        </w:rPr>
        <w:br/>
        <w:t>گر نتانی خورد طوفان سحاب *** کی توان کردن ترک خورد آب</w:t>
      </w:r>
      <w:r w:rsidRPr="007425F2">
        <w:rPr>
          <w:rFonts w:ascii="Nassim" w:eastAsia="Times New Roman" w:hAnsi="Nassim" w:cs="B Zar"/>
          <w:noProof w:val="0"/>
          <w:color w:val="000000"/>
          <w:sz w:val="28"/>
          <w:szCs w:val="28"/>
          <w:rtl/>
        </w:rPr>
        <w:br/>
        <w:t>راز را گر می نیازی در میان *** درک‌ها را تازه کن از قشر آن (1)</w:t>
      </w:r>
    </w:p>
    <w:p w:rsidR="007425F2" w:rsidRPr="007425F2" w:rsidRDefault="007425F2" w:rsidP="007425F2">
      <w:pPr>
        <w:spacing w:after="0" w:line="360" w:lineRule="atLeast"/>
        <w:textAlignment w:val="baseline"/>
        <w:rPr>
          <w:rFonts w:ascii="Nassim" w:eastAsia="Times New Roman" w:hAnsi="Nassim" w:cs="B Zar"/>
          <w:noProof w:val="0"/>
          <w:color w:val="000000"/>
          <w:sz w:val="28"/>
          <w:szCs w:val="28"/>
          <w:rtl/>
        </w:rPr>
      </w:pPr>
      <w:r w:rsidRPr="007425F2">
        <w:rPr>
          <w:rFonts w:ascii="Nassim" w:eastAsia="Times New Roman" w:hAnsi="Nassim" w:cs="B Zar"/>
          <w:noProof w:val="0"/>
          <w:color w:val="000000"/>
          <w:sz w:val="28"/>
          <w:szCs w:val="28"/>
          <w:rtl/>
        </w:rPr>
        <w:t>حضرت امام در فرازهای متعددی از سخنان خود، اشاره‌های کوتاه، اما عمیق و در خور دقتی در این باره داشته‌اند؛ و از جمله می‌فرمایند:</w:t>
      </w:r>
      <w:r w:rsidRPr="007425F2">
        <w:rPr>
          <w:rFonts w:ascii="Nassim" w:eastAsia="Times New Roman" w:hAnsi="Nassim" w:cs="B Zar"/>
          <w:noProof w:val="0"/>
          <w:color w:val="000000"/>
          <w:sz w:val="28"/>
          <w:szCs w:val="28"/>
          <w:rtl/>
        </w:rPr>
        <w:br/>
        <w:t>"من درباره شخصیت حضرت امیر چه می‌توانم بگویم؟ و کی چه می‌تواند بگوید؟ ابعاد مختلفه‌ای که این شخصیت بزرگ دارد به گفت‌وگوی ماها و به سنجش بشری در نمی‌آید؛ کسی که انسان کامل است و مظهر جمیع اسماء و صفات حق تعالی است، ابعادش به حسب اسماء حق تعالی باید هزار تا باشد و ما از عهده‌ی بیان حتی یکی‌اش نمی‌توانیم بر آییم. (2)"</w:t>
      </w:r>
      <w:r w:rsidRPr="007425F2">
        <w:rPr>
          <w:rFonts w:ascii="Nassim" w:eastAsia="Times New Roman" w:hAnsi="Nassim" w:cs="B Zar"/>
          <w:noProof w:val="0"/>
          <w:color w:val="000000"/>
          <w:sz w:val="28"/>
          <w:szCs w:val="28"/>
          <w:rtl/>
        </w:rPr>
        <w:br/>
        <w:t>در آموزه‌های دینی نظیر دعای جوشن کبیر - برای خداوند سبحان هزار اسم شمرده شده است، و انسان کامل مظهر آن اسماء شریف است؛ امام خمینی با این نگاه، نمودار گستره‌ی وجودی امیرمؤمنان (علیه‌السلام) را با رویکرد عرفانی طرح کرده و از امیرمؤمنان به وجود هزار بُعدی یاد نموده‌اند. (3) حضرت امام در جای دیگر اظهار داشته است:</w:t>
      </w:r>
      <w:r w:rsidRPr="007425F2">
        <w:rPr>
          <w:rFonts w:ascii="Nassim" w:eastAsia="Times New Roman" w:hAnsi="Nassim" w:cs="B Zar"/>
          <w:noProof w:val="0"/>
          <w:color w:val="000000"/>
          <w:sz w:val="28"/>
          <w:szCs w:val="28"/>
          <w:rtl/>
        </w:rPr>
        <w:br/>
        <w:t>"این بزرگوار... مظهر اسم جمع الهی است که دارای تمام اسماء و صفات است؛ تمام اسماء و صفات الهی در ظهور و در بروز، در دنیا و در عالم، با واسطه‌ی رسول اکرم، در این شخصیت ظهور کرده است. (4)"</w:t>
      </w:r>
      <w:r w:rsidRPr="007425F2">
        <w:rPr>
          <w:rFonts w:ascii="Nassim" w:eastAsia="Times New Roman" w:hAnsi="Nassim" w:cs="B Zar"/>
          <w:noProof w:val="0"/>
          <w:color w:val="000000"/>
          <w:sz w:val="28"/>
          <w:szCs w:val="28"/>
          <w:rtl/>
        </w:rPr>
        <w:br/>
        <w:t xml:space="preserve">از این فرازها دو مطلب اساسی به دست می‌آید: نخست آن‌که گستره‌ی ابعاد وجودی امیرمؤمنان را باید در </w:t>
      </w:r>
      <w:r w:rsidRPr="007425F2">
        <w:rPr>
          <w:rFonts w:ascii="Nassim" w:eastAsia="Times New Roman" w:hAnsi="Nassim" w:cs="B Zar"/>
          <w:noProof w:val="0"/>
          <w:color w:val="000000"/>
          <w:sz w:val="28"/>
          <w:szCs w:val="28"/>
          <w:rtl/>
        </w:rPr>
        <w:lastRenderedPageBreak/>
        <w:t>راستای مظهریت انسان کامل نسبت به اسماء و صفات الهی جست‌وجو کرد. با توجه به تأکید و اصرار حضرت امام بر این نکته که هیچ یک از اسماء الهی بدون مظهر نیست. (5) و از سوی دیگر، غیر از انسان کامل هیچ موجودی نمی‌تواند مظهر همه اسماء الهی بشود؛ بنابراین امیرمؤمنان به عنوان مصداق بارز انسان کامل، مظهر همه اسماء الهی است و به جهت مظهریت او از هزار اسم خداوند، در عرفان امام خمینی از آن حضرت به «موجود هزار بُعدی» یاد شده و آمده است که ما حتی یک بُعد از ابعاد هزارگانه وجود او را به طور کامل نمی‌توانیم درک کنیم. این مطلب، همان حقیقتی است که در کلام خود حضرت امیر (علیه‌السلام) آمده است:</w:t>
      </w:r>
      <w:r w:rsidRPr="007425F2">
        <w:rPr>
          <w:rFonts w:ascii="Nassim" w:eastAsia="Times New Roman" w:hAnsi="Nassim" w:cs="B Zar"/>
          <w:noProof w:val="0"/>
          <w:color w:val="000000"/>
          <w:sz w:val="28"/>
          <w:szCs w:val="28"/>
          <w:rtl/>
        </w:rPr>
        <w:br/>
        <w:t>«لا یرقی إلی الطیر»؛ (6) مرغ بلند پرواز هیچ اندیشه توان پرواز بر قله‌ی بلند وجود من را ندارد.</w:t>
      </w:r>
      <w:r w:rsidRPr="007425F2">
        <w:rPr>
          <w:rFonts w:ascii="Nassim" w:eastAsia="Times New Roman" w:hAnsi="Nassim" w:cs="B Zar"/>
          <w:noProof w:val="0"/>
          <w:color w:val="000000"/>
          <w:sz w:val="28"/>
          <w:szCs w:val="28"/>
          <w:rtl/>
        </w:rPr>
        <w:br/>
        <w:t>دوم ‌آن‌که حضرت امام به این نکته توجه داده است که این گستره‌ی وجودی از طریق وجود مقام ختمی مرتبت نصیب امیرمؤمنان شده است؛ به همین دلیل امیرمؤمنان می‌فرماید:</w:t>
      </w:r>
      <w:r w:rsidRPr="007425F2">
        <w:rPr>
          <w:rFonts w:ascii="Nassim" w:eastAsia="Times New Roman" w:hAnsi="Nassim" w:cs="B Zar"/>
          <w:noProof w:val="0"/>
          <w:color w:val="000000"/>
          <w:sz w:val="28"/>
          <w:szCs w:val="28"/>
          <w:rtl/>
        </w:rPr>
        <w:br/>
        <w:t>«إنما أنا عبدٌ من عبید محمد (صلی الله علیه و آله و سلم)»؛ (7) من بنده‌ای از بندگان مقام ختمی مرتبت هستم.</w:t>
      </w:r>
      <w:r w:rsidRPr="007425F2">
        <w:rPr>
          <w:rFonts w:ascii="Nassim" w:eastAsia="Times New Roman" w:hAnsi="Nassim" w:cs="B Zar"/>
          <w:noProof w:val="0"/>
          <w:color w:val="000000"/>
          <w:sz w:val="28"/>
          <w:szCs w:val="28"/>
          <w:rtl/>
        </w:rPr>
        <w:br/>
        <w:t>به دلیل این گستره‌ی وجودی است که رسول خدا خطاب به علی (علیه‌السلام) فرمود:</w:t>
      </w:r>
      <w:r w:rsidRPr="007425F2">
        <w:rPr>
          <w:rFonts w:ascii="Nassim" w:eastAsia="Times New Roman" w:hAnsi="Nassim" w:cs="B Zar"/>
          <w:noProof w:val="0"/>
          <w:color w:val="000000"/>
          <w:sz w:val="28"/>
          <w:szCs w:val="28"/>
          <w:rtl/>
        </w:rPr>
        <w:br/>
        <w:t>«والذی نفسی بیده، لو لا أن یقول فیک طوائف من امتی ما قالت النصاری فی عیسی بن مریم، لقلتُ فیک الیوم مقالاً، لا تمرّ بأحد من المسلمین إلا أخذ التراب من أثر قدمیک، یطلبون به البرکة»؛ (8) سوگند به آن که جان من در دست قدرت او است، اگر خوف آن نبود که گروه‌هایی از امت من، درباره شما چیزی بگویند که نصارا درباره عیسی بن مریم می‌گویند، هر آینه درباره شما امروز سخنی می‌گفتم که هر جا قدم می‌گذاشتی، مسلمان‌ها خاک زیر پای تو را به عنوان تبرک بر می‌داشتند.</w:t>
      </w:r>
      <w:r w:rsidRPr="007425F2">
        <w:rPr>
          <w:rFonts w:ascii="Nassim" w:eastAsia="Times New Roman" w:hAnsi="Nassim" w:cs="B Zar"/>
          <w:noProof w:val="0"/>
          <w:color w:val="000000"/>
          <w:sz w:val="28"/>
          <w:szCs w:val="28"/>
          <w:rtl/>
        </w:rPr>
        <w:br/>
        <w:t>در بعضی روایات در ادامه آمده است:</w:t>
      </w:r>
      <w:r w:rsidRPr="007425F2">
        <w:rPr>
          <w:rFonts w:ascii="Nassim" w:eastAsia="Times New Roman" w:hAnsi="Nassim" w:cs="B Zar"/>
          <w:noProof w:val="0"/>
          <w:color w:val="000000"/>
          <w:sz w:val="28"/>
          <w:szCs w:val="28"/>
          <w:rtl/>
        </w:rPr>
        <w:br/>
        <w:t>«... لاتمرّ بملأ إلا أخذوا التراب من تحت رجلیک، و من فضل طهورک یستشفون به؛ ولکن حسبک أن تکون منی و أنا منک»؛ (9)... درباره شما سخنی می‌گفتم که از کنار هر گروه و جمعیتی که می‌گذشتی، خاک زیر پا و آب وضوی تو را به عنوان شفا و درمان می‌گرفتند؛ اما کفایت می‌کند که بگویم تو از من هستی و من از تو.</w:t>
      </w:r>
      <w:r w:rsidRPr="007425F2">
        <w:rPr>
          <w:rFonts w:ascii="Nassim" w:eastAsia="Times New Roman" w:hAnsi="Nassim" w:cs="B Zar"/>
          <w:noProof w:val="0"/>
          <w:color w:val="000000"/>
          <w:sz w:val="28"/>
          <w:szCs w:val="28"/>
          <w:rtl/>
        </w:rPr>
        <w:br/>
        <w:t>به نظر می‌رسد مولانا با الهام از این حدیث نورانی، مرشد خویش را بهانه قرار داده تا در وصف پیشوای عارفان، امیرمؤمنان (علیه‌السلام) چنین سراید:</w:t>
      </w:r>
    </w:p>
    <w:p w:rsidR="007425F2" w:rsidRPr="007425F2" w:rsidRDefault="007425F2" w:rsidP="007425F2">
      <w:pPr>
        <w:spacing w:after="0" w:line="360" w:lineRule="atLeast"/>
        <w:textAlignment w:val="baseline"/>
        <w:rPr>
          <w:rFonts w:ascii="Nassim" w:eastAsia="Times New Roman" w:hAnsi="Nassim" w:cs="B Zar"/>
          <w:noProof w:val="0"/>
          <w:color w:val="000000"/>
          <w:sz w:val="28"/>
          <w:szCs w:val="28"/>
          <w:rtl/>
        </w:rPr>
      </w:pPr>
      <w:r w:rsidRPr="007425F2">
        <w:rPr>
          <w:rFonts w:ascii="Nassim" w:eastAsia="Times New Roman" w:hAnsi="Nassim" w:cs="B Zar"/>
          <w:noProof w:val="0"/>
          <w:color w:val="000000"/>
          <w:sz w:val="28"/>
          <w:szCs w:val="28"/>
          <w:rtl/>
        </w:rPr>
        <w:t>گر نبودی خَلق محجوب و کثیف *** ور نبودی حَلق‌ها تنگ و ضعیف</w:t>
      </w:r>
      <w:r w:rsidRPr="007425F2">
        <w:rPr>
          <w:rFonts w:ascii="Nassim" w:eastAsia="Times New Roman" w:hAnsi="Nassim" w:cs="B Zar"/>
          <w:noProof w:val="0"/>
          <w:color w:val="000000"/>
          <w:sz w:val="28"/>
          <w:szCs w:val="28"/>
          <w:rtl/>
        </w:rPr>
        <w:br/>
        <w:t>در مدیحت دادِ معنا داد می‌*** غیر این منطق لبی بگشاد می‌</w:t>
      </w:r>
      <w:r w:rsidRPr="007425F2">
        <w:rPr>
          <w:rFonts w:ascii="Nassim" w:eastAsia="Times New Roman" w:hAnsi="Nassim" w:cs="B Zar"/>
          <w:noProof w:val="0"/>
          <w:color w:val="000000"/>
          <w:sz w:val="28"/>
          <w:szCs w:val="28"/>
          <w:rtl/>
        </w:rPr>
        <w:br/>
        <w:t>مدح تو حیف است با زندانیان *** گویم اندر مجمع روحانیان</w:t>
      </w:r>
      <w:r w:rsidRPr="007425F2">
        <w:rPr>
          <w:rFonts w:ascii="Nassim" w:eastAsia="Times New Roman" w:hAnsi="Nassim" w:cs="B Zar"/>
          <w:noProof w:val="0"/>
          <w:color w:val="000000"/>
          <w:sz w:val="28"/>
          <w:szCs w:val="28"/>
          <w:rtl/>
        </w:rPr>
        <w:br/>
        <w:t>مدح، تعریف است و تخریق حجاب *** فارغ است از شرح و تعریف آفتاب</w:t>
      </w:r>
      <w:r w:rsidRPr="007425F2">
        <w:rPr>
          <w:rFonts w:ascii="Nassim" w:eastAsia="Times New Roman" w:hAnsi="Nassim" w:cs="B Zar"/>
          <w:noProof w:val="0"/>
          <w:color w:val="000000"/>
          <w:sz w:val="28"/>
          <w:szCs w:val="28"/>
          <w:rtl/>
        </w:rPr>
        <w:br/>
        <w:t>مادح خورشید مداح خود است *** که دو چشمم روشن و نامُرمد است</w:t>
      </w:r>
      <w:r w:rsidRPr="007425F2">
        <w:rPr>
          <w:rFonts w:ascii="Nassim" w:eastAsia="Times New Roman" w:hAnsi="Nassim" w:cs="B Zar"/>
          <w:noProof w:val="0"/>
          <w:color w:val="000000"/>
          <w:sz w:val="28"/>
          <w:szCs w:val="28"/>
          <w:rtl/>
        </w:rPr>
        <w:br/>
        <w:t>قدر تو بگذشت از درک عقول *** عقل اندر شرح تو شد بوالفضول (10)</w:t>
      </w:r>
    </w:p>
    <w:p w:rsidR="007425F2" w:rsidRPr="007425F2" w:rsidRDefault="007425F2" w:rsidP="007425F2">
      <w:pPr>
        <w:spacing w:after="0" w:line="360" w:lineRule="atLeast"/>
        <w:textAlignment w:val="baseline"/>
        <w:rPr>
          <w:rFonts w:ascii="Nassim" w:eastAsia="Times New Roman" w:hAnsi="Nassim" w:cs="B Zar"/>
          <w:noProof w:val="0"/>
          <w:color w:val="000000"/>
          <w:sz w:val="28"/>
          <w:szCs w:val="28"/>
          <w:rtl/>
        </w:rPr>
      </w:pPr>
      <w:r w:rsidRPr="007425F2">
        <w:rPr>
          <w:rFonts w:ascii="Nassim" w:eastAsia="Times New Roman" w:hAnsi="Nassim" w:cs="B Zar"/>
          <w:noProof w:val="0"/>
          <w:color w:val="000000"/>
          <w:sz w:val="28"/>
          <w:szCs w:val="28"/>
          <w:rtl/>
        </w:rPr>
        <w:lastRenderedPageBreak/>
        <w:t>بنابراین آنچه در عرفان امام خمینی درباره گستره‌ی وجودی امیرمؤمنان (علیه‌السلام) مطرح شده، در واقع تفسیر عرفانی آموزه‌هایی است که در معارف دینی و متون عرفان ناب آمده است.</w:t>
      </w:r>
    </w:p>
    <w:p w:rsidR="007425F2" w:rsidRPr="007425F2" w:rsidRDefault="007425F2" w:rsidP="007425F2">
      <w:pPr>
        <w:spacing w:before="150" w:after="75" w:line="360" w:lineRule="atLeast"/>
        <w:jc w:val="both"/>
        <w:textAlignment w:val="baseline"/>
        <w:rPr>
          <w:rFonts w:ascii="Nassim" w:eastAsia="Times New Roman" w:hAnsi="Nassim" w:cs="B Zar"/>
          <w:b/>
          <w:bCs/>
          <w:i/>
          <w:iCs/>
          <w:noProof w:val="0"/>
          <w:color w:val="333333"/>
          <w:sz w:val="28"/>
          <w:szCs w:val="28"/>
          <w:rtl/>
        </w:rPr>
      </w:pPr>
      <w:r w:rsidRPr="007425F2">
        <w:rPr>
          <w:rFonts w:ascii="Nassim" w:eastAsia="Times New Roman" w:hAnsi="Nassim" w:cs="B Zar"/>
          <w:b/>
          <w:bCs/>
          <w:i/>
          <w:iCs/>
          <w:noProof w:val="0"/>
          <w:color w:val="333333"/>
          <w:sz w:val="28"/>
          <w:szCs w:val="28"/>
          <w:rtl/>
        </w:rPr>
        <w:t>پی‌نوشت‌ها:</w:t>
      </w:r>
    </w:p>
    <w:p w:rsidR="007425F2" w:rsidRPr="007425F2" w:rsidRDefault="007425F2" w:rsidP="007425F2">
      <w:pPr>
        <w:spacing w:after="0" w:line="360" w:lineRule="atLeast"/>
        <w:textAlignment w:val="baseline"/>
        <w:rPr>
          <w:rFonts w:ascii="Nassim" w:eastAsia="Times New Roman" w:hAnsi="Nassim" w:cs="B Zar"/>
          <w:noProof w:val="0"/>
          <w:color w:val="000000"/>
          <w:sz w:val="28"/>
          <w:szCs w:val="28"/>
          <w:rtl/>
        </w:rPr>
      </w:pPr>
      <w:r w:rsidRPr="007425F2">
        <w:rPr>
          <w:rFonts w:ascii="Nassim" w:eastAsia="Times New Roman" w:hAnsi="Nassim" w:cs="B Zar"/>
          <w:noProof w:val="0"/>
          <w:color w:val="000000"/>
          <w:sz w:val="28"/>
          <w:szCs w:val="28"/>
          <w:rtl/>
        </w:rPr>
        <w:t>1. مثنوی معنوی، ج 2، دفتر 5، ص 710.</w:t>
      </w:r>
      <w:r w:rsidRPr="007425F2">
        <w:rPr>
          <w:rFonts w:ascii="Nassim" w:eastAsia="Times New Roman" w:hAnsi="Nassim" w:cs="B Zar"/>
          <w:noProof w:val="0"/>
          <w:color w:val="000000"/>
          <w:sz w:val="28"/>
          <w:szCs w:val="28"/>
          <w:rtl/>
        </w:rPr>
        <w:br/>
        <w:t>2. صحیفه امام، ج 20، ص 111.</w:t>
      </w:r>
      <w:r w:rsidRPr="007425F2">
        <w:rPr>
          <w:rFonts w:ascii="Nassim" w:eastAsia="Times New Roman" w:hAnsi="Nassim" w:cs="B Zar"/>
          <w:noProof w:val="0"/>
          <w:color w:val="000000"/>
          <w:sz w:val="28"/>
          <w:szCs w:val="28"/>
          <w:rtl/>
        </w:rPr>
        <w:br/>
        <w:t>3. ر.ک: همان، ج 17، ص 419.</w:t>
      </w:r>
      <w:r w:rsidRPr="007425F2">
        <w:rPr>
          <w:rFonts w:ascii="Nassim" w:eastAsia="Times New Roman" w:hAnsi="Nassim" w:cs="B Zar"/>
          <w:noProof w:val="0"/>
          <w:color w:val="000000"/>
          <w:sz w:val="28"/>
          <w:szCs w:val="28"/>
          <w:rtl/>
        </w:rPr>
        <w:br/>
        <w:t>4. همان، ج 19، ص 63-64.</w:t>
      </w:r>
      <w:r w:rsidRPr="007425F2">
        <w:rPr>
          <w:rFonts w:ascii="Nassim" w:eastAsia="Times New Roman" w:hAnsi="Nassim" w:cs="B Zar"/>
          <w:noProof w:val="0"/>
          <w:color w:val="000000"/>
          <w:sz w:val="28"/>
          <w:szCs w:val="28"/>
          <w:rtl/>
        </w:rPr>
        <w:br/>
        <w:t>5. ر.ک: تعلیقات علی شرح فصوص الحکم و مصباح الانس، ص 26.</w:t>
      </w:r>
      <w:r w:rsidRPr="007425F2">
        <w:rPr>
          <w:rFonts w:ascii="Nassim" w:eastAsia="Times New Roman" w:hAnsi="Nassim" w:cs="B Zar"/>
          <w:noProof w:val="0"/>
          <w:color w:val="000000"/>
          <w:sz w:val="28"/>
          <w:szCs w:val="28"/>
          <w:rtl/>
        </w:rPr>
        <w:br/>
        <w:t>6. نهج‌البلاغه، خطبه 3.</w:t>
      </w:r>
      <w:r w:rsidRPr="007425F2">
        <w:rPr>
          <w:rFonts w:ascii="Nassim" w:eastAsia="Times New Roman" w:hAnsi="Nassim" w:cs="B Zar"/>
          <w:noProof w:val="0"/>
          <w:color w:val="000000"/>
          <w:sz w:val="28"/>
          <w:szCs w:val="28"/>
          <w:rtl/>
        </w:rPr>
        <w:br/>
        <w:t>7. التوحید، ص 174، ح 3.</w:t>
      </w:r>
      <w:r w:rsidRPr="007425F2">
        <w:rPr>
          <w:rFonts w:ascii="Nassim" w:eastAsia="Times New Roman" w:hAnsi="Nassim" w:cs="B Zar"/>
          <w:noProof w:val="0"/>
          <w:color w:val="000000"/>
          <w:sz w:val="28"/>
          <w:szCs w:val="28"/>
          <w:rtl/>
        </w:rPr>
        <w:br/>
        <w:t>8. المناقب، ص 311، ح 310.</w:t>
      </w:r>
      <w:r w:rsidRPr="007425F2">
        <w:rPr>
          <w:rFonts w:ascii="Nassim" w:eastAsia="Times New Roman" w:hAnsi="Nassim" w:cs="B Zar"/>
          <w:noProof w:val="0"/>
          <w:color w:val="000000"/>
          <w:sz w:val="28"/>
          <w:szCs w:val="28"/>
          <w:rtl/>
        </w:rPr>
        <w:br/>
        <w:t>9. همان، ص 128، ح 142.</w:t>
      </w:r>
      <w:r w:rsidRPr="007425F2">
        <w:rPr>
          <w:rFonts w:ascii="Nassim" w:eastAsia="Times New Roman" w:hAnsi="Nassim" w:cs="B Zar"/>
          <w:noProof w:val="0"/>
          <w:color w:val="000000"/>
          <w:sz w:val="28"/>
          <w:szCs w:val="28"/>
          <w:rtl/>
        </w:rPr>
        <w:br/>
        <w:t>10. مثنوی معنوی، ج 2، دفتر 5، ص 709.</w:t>
      </w:r>
    </w:p>
    <w:p w:rsidR="007425F2" w:rsidRPr="007425F2" w:rsidRDefault="007425F2" w:rsidP="007425F2">
      <w:pPr>
        <w:spacing w:after="0" w:line="360" w:lineRule="atLeast"/>
        <w:textAlignment w:val="baseline"/>
        <w:rPr>
          <w:rFonts w:ascii="Nassim" w:eastAsia="Times New Roman" w:hAnsi="Nassim" w:cs="B Zar"/>
          <w:noProof w:val="0"/>
          <w:color w:val="000000"/>
          <w:sz w:val="28"/>
          <w:szCs w:val="28"/>
          <w:rtl/>
        </w:rPr>
      </w:pPr>
      <w:r w:rsidRPr="007425F2">
        <w:rPr>
          <w:rFonts w:ascii="Nassim" w:eastAsia="Times New Roman" w:hAnsi="Nassim" w:cs="B Zar"/>
          <w:b/>
          <w:bCs/>
          <w:i/>
          <w:iCs/>
          <w:noProof w:val="0"/>
          <w:color w:val="000000"/>
          <w:sz w:val="28"/>
          <w:szCs w:val="28"/>
          <w:bdr w:val="none" w:sz="0" w:space="0" w:color="auto" w:frame="1"/>
          <w:rtl/>
        </w:rPr>
        <w:t>منبع مقاله:</w:t>
      </w:r>
      <w:r w:rsidRPr="007425F2">
        <w:rPr>
          <w:rFonts w:ascii="Nassim" w:eastAsia="Times New Roman" w:hAnsi="Nassim" w:cs="B Zar"/>
          <w:noProof w:val="0"/>
          <w:color w:val="000000"/>
          <w:sz w:val="28"/>
          <w:szCs w:val="28"/>
          <w:rtl/>
        </w:rPr>
        <w:br/>
      </w:r>
      <w:r w:rsidRPr="007425F2">
        <w:rPr>
          <w:rFonts w:ascii="Nassim" w:eastAsia="Times New Roman" w:hAnsi="Nassim" w:cs="B Zar"/>
          <w:noProof w:val="0"/>
          <w:color w:val="000000"/>
          <w:sz w:val="28"/>
          <w:szCs w:val="28"/>
          <w:bdr w:val="none" w:sz="0" w:space="0" w:color="auto" w:frame="1"/>
          <w:rtl/>
        </w:rPr>
        <w:t>صادقی ارزگانی، محمد امین، (1387) سیمای اهل بیت (ع) در عرفان امام خمینی (ره)، تهران: مؤسسه تنظیم و نشر آثار امام خمینی (ره)، چاپ اول.</w:t>
      </w:r>
    </w:p>
    <w:p w:rsidR="002A16C5" w:rsidRPr="007425F2" w:rsidRDefault="002A16C5" w:rsidP="007425F2">
      <w:pPr>
        <w:rPr>
          <w:rFonts w:cs="B Zar"/>
          <w:sz w:val="28"/>
          <w:szCs w:val="28"/>
        </w:rPr>
      </w:pPr>
    </w:p>
    <w:sectPr w:rsidR="002A16C5" w:rsidRPr="007425F2" w:rsidSect="00123979">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ssim">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F2"/>
    <w:rsid w:val="00123979"/>
    <w:rsid w:val="002A16C5"/>
    <w:rsid w:val="007425F2"/>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3DF9F8D-313F-4485-A8AC-A4518CBEE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399463">
      <w:bodyDiv w:val="1"/>
      <w:marLeft w:val="0"/>
      <w:marRight w:val="0"/>
      <w:marTop w:val="0"/>
      <w:marBottom w:val="0"/>
      <w:divBdr>
        <w:top w:val="none" w:sz="0" w:space="0" w:color="auto"/>
        <w:left w:val="none" w:sz="0" w:space="0" w:color="auto"/>
        <w:bottom w:val="none" w:sz="0" w:space="0" w:color="auto"/>
        <w:right w:val="none" w:sz="0" w:space="0" w:color="auto"/>
      </w:divBdr>
      <w:divsChild>
        <w:div w:id="1239096798">
          <w:marLeft w:val="0"/>
          <w:marRight w:val="0"/>
          <w:marTop w:val="0"/>
          <w:marBottom w:val="0"/>
          <w:divBdr>
            <w:top w:val="none" w:sz="0" w:space="0" w:color="auto"/>
            <w:left w:val="none" w:sz="0" w:space="0" w:color="auto"/>
            <w:bottom w:val="none" w:sz="0" w:space="0" w:color="auto"/>
            <w:right w:val="none" w:sz="0" w:space="0" w:color="auto"/>
          </w:divBdr>
          <w:divsChild>
            <w:div w:id="87184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924</Words>
  <Characters>3636</Characters>
  <Application>Microsoft Office Word</Application>
  <DocSecurity>0</DocSecurity>
  <Lines>58</Lines>
  <Paragraphs>3</Paragraphs>
  <ScaleCrop>false</ScaleCrop>
  <Company>Moorche 30 DVDs</Company>
  <LinksUpToDate>false</LinksUpToDate>
  <CharactersWithSpaces>4557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2016-09-06T08:41:00Z</dcterms:created>
  <dcterms:modified xsi:type="dcterms:W3CDTF">2016-09-06T08:43:00Z</dcterms:modified>
</cp:coreProperties>
</file>